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FB" w:rsidRPr="00266795" w:rsidRDefault="00870DFB" w:rsidP="0026679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</w:t>
      </w:r>
      <w:r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ПРЕЗИДЕНТА ПРИДНЕСТРОВСКОЙ МОЛДАВСКОЙ РЕСПУБЛИКИ</w:t>
      </w:r>
    </w:p>
    <w:p w:rsidR="00870DFB" w:rsidRPr="00266795" w:rsidRDefault="00870DFB" w:rsidP="0026679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70DFB" w:rsidRPr="00266795" w:rsidRDefault="00870DFB" w:rsidP="0026679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особенностях лицензирования деятельности в области электросвязи, мерах по государственному управлению использованием радиочастотного спектра и о плате за его использование</w:t>
      </w:r>
    </w:p>
    <w:p w:rsidR="00870DFB" w:rsidRPr="00266795" w:rsidRDefault="00870DFB" w:rsidP="0026679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70DFB" w:rsidRPr="00266795" w:rsidRDefault="00870DFB" w:rsidP="0026679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(САЗ 12-29)</w:t>
      </w:r>
    </w:p>
    <w:p w:rsidR="008868E3" w:rsidRPr="00266795" w:rsidRDefault="008868E3" w:rsidP="0026679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(с изменениями и дополнениями, введенными указами Президента Приднестровской Молдавской Республики от 08.01.</w:t>
      </w:r>
      <w:r w:rsidR="006E5DF7"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</w:t>
      </w:r>
      <w:r w:rsidR="006E5DF7"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№ 9 (САЗ 14-2), от</w:t>
      </w:r>
      <w:r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05.05.</w:t>
      </w:r>
      <w:r w:rsidR="006E5DF7"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</w:t>
      </w:r>
      <w:r w:rsidR="006E5DF7"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№ 149 (САЗ 14-19)</w:t>
      </w:r>
      <w:r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6E5DF7"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19.01.2015 г. № 11 (САЗ 15-4), от 25.09.2015 г. № 377 (САЗ 15-39), от 29.12.2016 г. № </w:t>
      </w:r>
      <w:r w:rsidR="004D3A81"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57 (САЗ </w:t>
      </w:r>
      <w:r w:rsidR="006E5DF7" w:rsidRPr="00266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17-1), от 12.09.2017 г. № 525 (САЗ 17-38), от 21.11.2019 г. № 406 (САЗ 19-45))</w:t>
      </w:r>
    </w:p>
    <w:p w:rsidR="00870DFB" w:rsidRPr="00266795" w:rsidRDefault="00870DFB" w:rsidP="0026679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D3A81" w:rsidRPr="00266795" w:rsidRDefault="004D3A81" w:rsidP="002667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основании статьи 65 Конституции Приднестровской Молдавской Республики, в соответствии с Законом Приднестровской Молдавской Республики от 29 августа 2008 года № 536-З-IV «Об электросвязи» (САЗ 08-34) с изменениями, внесенными законами Приднестровской Молдавской Республики от 25 июня 2009 года № 793-ЗИ-IV (САЗ 09-26), от 24 мая 2011 года № 58-ЗИ-V (САЗ 11-21), п о с т а н о в л я ю:</w:t>
      </w:r>
    </w:p>
    <w:p w:rsidR="00870DFB" w:rsidRPr="00266795" w:rsidRDefault="00870DFB" w:rsidP="002667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rStyle w:val="a5"/>
          <w:color w:val="333333"/>
        </w:rPr>
        <w:t>1.</w:t>
      </w:r>
      <w:r w:rsidRPr="00266795">
        <w:rPr>
          <w:color w:val="333333"/>
        </w:rPr>
        <w:t> Установить, что лицензии на деятельность в области электросвязи, связанные с использованием ограниченного ресурса, выданные до вступления в силу Закона Приднестровской Молдавской Республики от 29 августа 2008 года № 536-З-IV «Об электросвязи» (САЗ 08-34) (далее - Закон Приднестровской Молдавской Республики «Об электросвязи»), действительны в пределах: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а) действующих по состоянию на дату вступления в силу Закона Приднестровской Молдавской Республики «Об электросвязи» Разрешений на эксплуатацию радиоизлучающих средств, используемых для предоставления услуг: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1) для целей кабельного телевизионного вещания (с использованием технологии MMDS);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2) для целей кабельного радиовещания (с использованием технологии MMDS);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  <w:r w:rsidRPr="00266795">
        <w:rPr>
          <w:color w:val="333333"/>
        </w:rPr>
        <w:t>3);</w:t>
      </w:r>
      <w:r w:rsidR="001965D5" w:rsidRPr="00266795">
        <w:rPr>
          <w:color w:val="333333"/>
        </w:rPr>
        <w:t xml:space="preserve"> </w:t>
      </w:r>
      <w:r w:rsidR="001965D5" w:rsidRPr="00266795">
        <w:rPr>
          <w:i/>
          <w:color w:val="333333"/>
        </w:rPr>
        <w:t>исключен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4) для целей эфирного радиовещания;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б) стандарта мобильной сотовой связи, используемого для предоставления услуг мобильной связи, по состоянию на дату вступления в силу Закона Приднестровской Молдавской Республики «Об электросвязи».</w:t>
      </w:r>
    </w:p>
    <w:p w:rsidR="00266795" w:rsidRDefault="00266795" w:rsidP="002667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D3A81" w:rsidRPr="00266795" w:rsidRDefault="004D3A81" w:rsidP="002667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6795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01D44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Исполнитель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ному органу </w:t>
      </w:r>
      <w:r w:rsidR="00E01D44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государственной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власти Приднестровской Молдавской Республики в области </w:t>
      </w:r>
      <w:r w:rsidR="00E01D44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связи при осуществлении лицензирования деятельности по оказанию услуг </w:t>
      </w:r>
      <w:r w:rsidR="00E01D44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целей радиовещания, телевизионного вещания, мобильной связи, а также на деятельность по предоставлению услуг по передаче данных (за исключением услуг по передаче данных, взаимно оказываемых друг другу операторами электросвязи при обеспечении </w:t>
      </w:r>
      <w:proofErr w:type="spellStart"/>
      <w:r w:rsidR="00E01D44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взаимоподключения</w:t>
      </w:r>
      <w:proofErr w:type="spellEnd"/>
      <w:r w:rsidR="00E01D44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сетей электросвязи)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если </w:t>
      </w:r>
      <w:r w:rsidR="00E01D44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данная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деятельность </w:t>
      </w:r>
      <w:r w:rsidR="00E01D44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предполагает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использование радиочастотного спектра</w:t>
      </w:r>
      <w:r w:rsidR="00E01D44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использовании радиоизлучающих средств, подлежащих регистрации,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выдавать </w:t>
      </w:r>
      <w:r w:rsidR="00E01D44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лицензии 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результатам конкурса</w:t>
      </w:r>
      <w:r w:rsidR="00E01D44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соответствии с законодательством Приднестровской Молдавской Республики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66795" w:rsidRDefault="00266795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rStyle w:val="a5"/>
          <w:color w:val="333333"/>
        </w:rPr>
        <w:t>3.</w:t>
      </w:r>
      <w:r w:rsidRPr="00266795">
        <w:rPr>
          <w:color w:val="333333"/>
        </w:rPr>
        <w:t xml:space="preserve"> Установить, что для обладателей радиочастотного присвоения и пользователей радиочастотным спектром, использующих и намеревающихся использовать радиоизлучающие средства гражданского назначения, устанавливаются разовая плата при предоставлении права на доступ к использованию радиочастотного спектра (путем назначения радиочастотного присвоения) (далее – разовая плата) и ежегодная плата за </w:t>
      </w:r>
      <w:r w:rsidRPr="00266795">
        <w:rPr>
          <w:color w:val="333333"/>
        </w:rPr>
        <w:lastRenderedPageBreak/>
        <w:t>использование радиочастотного спектра (далее – ежегодная плата) в целях обеспечения мониторинга радиочастотного спектра, в том числе системы технического контроля за излучениями радиоизлучающих средств, конверсии радиочастотного спектра и финансирования мероприятий по переводу действующих радиоизлучающих средств в другие полосы радиочастот.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При этом под обладателем радиочастотного присвоения понимается юридическое или физическое лицо, владеющее радиоизлучающим средством (далее - РИС), в отношении которого исполнительным органом государственной власти в области электросвязи принято решение о назначении радиочастотного присвоения.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Под пользователем радиочастотным спектром (далее – пользователь) понимается юридическое или физическое лицо, владеющее радиоизлучающим средством, в отношении которого исполнительным органом государственной власти в области электросвязи принято решение о выдаче Разрешения на эксплуатацию РИС.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Под РИС гражданского назначения понимается радиоизлучающее средство, которое используется для любых нужд, не противоречащих действующему законодательству, за исключением нужд президентской связи, обороны страны, безопасности государства и обеспечения правопорядка.</w:t>
      </w:r>
    </w:p>
    <w:p w:rsidR="00266795" w:rsidRDefault="00266795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rStyle w:val="a5"/>
          <w:color w:val="333333"/>
        </w:rPr>
        <w:t>3-1.</w:t>
      </w:r>
      <w:r w:rsidRPr="00266795">
        <w:rPr>
          <w:color w:val="333333"/>
        </w:rPr>
        <w:t> Установить, что разовая плата взимается однократно и подлежит перечислению в доход республиканского бюджета одним платежом в срок, не превышающий 5 (пяти) банковских дней со дня, следующего за днем получения обладателем радиочастотного присвоения извещения о принятии исполнительным органом государственной власти в области электросвязи решения о назначении радиочастотного присвоения.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В случае нарушения сроков внесения разовой платы</w:t>
      </w:r>
      <w:r w:rsidR="000466DE" w:rsidRPr="00266795">
        <w:rPr>
          <w:color w:val="333333"/>
        </w:rPr>
        <w:t>,</w:t>
      </w:r>
      <w:r w:rsidRPr="00266795">
        <w:rPr>
          <w:color w:val="333333"/>
        </w:rPr>
        <w:t xml:space="preserve"> исполнительный орган государственной власти в области электросвязи имеет право отменить решение о назначении радиочастотного присвоения.</w:t>
      </w:r>
      <w:r w:rsidR="002123E7" w:rsidRPr="00266795">
        <w:rPr>
          <w:color w:val="333333"/>
        </w:rPr>
        <w:t xml:space="preserve"> 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В случаях, когда радиочастотное присвоение было назначено до вступления в силу настоящего Указа, разовая плата не взимается.</w:t>
      </w:r>
    </w:p>
    <w:p w:rsidR="000466DE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 xml:space="preserve">Ежегодная плата взимается с </w:t>
      </w:r>
      <w:r w:rsidR="00E01D44" w:rsidRPr="00266795">
        <w:rPr>
          <w:color w:val="333333"/>
        </w:rPr>
        <w:t xml:space="preserve">пользователей и </w:t>
      </w:r>
      <w:r w:rsidRPr="00266795">
        <w:rPr>
          <w:color w:val="333333"/>
        </w:rPr>
        <w:t xml:space="preserve">подлежит </w:t>
      </w:r>
      <w:r w:rsidR="001965D5" w:rsidRPr="00266795">
        <w:rPr>
          <w:color w:val="333333"/>
        </w:rPr>
        <w:t xml:space="preserve">зачислению </w:t>
      </w:r>
      <w:r w:rsidR="00E01D44" w:rsidRPr="00266795">
        <w:rPr>
          <w:color w:val="333333"/>
        </w:rPr>
        <w:t xml:space="preserve">в </w:t>
      </w:r>
      <w:r w:rsidR="002123E7" w:rsidRPr="00266795">
        <w:rPr>
          <w:color w:val="333333"/>
        </w:rPr>
        <w:t xml:space="preserve">республиканский бюджет </w:t>
      </w:r>
      <w:r w:rsidRPr="00266795">
        <w:rPr>
          <w:color w:val="333333"/>
        </w:rPr>
        <w:t xml:space="preserve">ежеквартально равными долями </w:t>
      </w:r>
      <w:r w:rsidR="000466DE" w:rsidRPr="00266795">
        <w:rPr>
          <w:color w:val="333333"/>
        </w:rPr>
        <w:t>при условии отсутствия воздействия вредной помехи, существенно ухудшающей качество, затрудняющей или неоднократно прерывающей работу службы радиосвязи пользователя, в срок, не превышающий 30 (тридцати) календарных дней, исчисляемых со дня, следующего за днем получения пользователем извещения о необходимости произведения оплаты квартальной части ежегодной платы. Ежеквартальная доля может быть уменьшена в зависимости от периода, исчисляемого в количестве календарных дней, в который проявлялось действие вредной помехи, в соответствии с условиями договорных отношений с пользователем.</w:t>
      </w:r>
    </w:p>
    <w:p w:rsidR="004D3A81" w:rsidRPr="00266795" w:rsidRDefault="000466DE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  <w:shd w:val="clear" w:color="auto" w:fill="FFFFFF"/>
        </w:rPr>
        <w:t>Разовая плата и е</w:t>
      </w:r>
      <w:r w:rsidR="002336D3" w:rsidRPr="00266795">
        <w:rPr>
          <w:color w:val="333333"/>
          <w:shd w:val="clear" w:color="auto" w:fill="FFFFFF"/>
        </w:rPr>
        <w:t>жегодная плата направляется в размере 100 (ста) процентов на цели, связанные с обеспечением</w:t>
      </w:r>
      <w:r w:rsidR="00E01D44" w:rsidRPr="00266795">
        <w:rPr>
          <w:color w:val="333333"/>
          <w:shd w:val="clear" w:color="auto" w:fill="FFFFFF"/>
        </w:rPr>
        <w:t xml:space="preserve"> </w:t>
      </w:r>
      <w:r w:rsidR="002336D3" w:rsidRPr="00266795">
        <w:rPr>
          <w:color w:val="333333"/>
          <w:shd w:val="clear" w:color="auto" w:fill="FFFFFF"/>
        </w:rPr>
        <w:t xml:space="preserve">мониторинга радиочастотного спектра, проведением технического контроля за излучением радиоизлучающих средств (далее – </w:t>
      </w:r>
      <w:proofErr w:type="spellStart"/>
      <w:r w:rsidR="002336D3" w:rsidRPr="00266795">
        <w:rPr>
          <w:color w:val="333333"/>
          <w:shd w:val="clear" w:color="auto" w:fill="FFFFFF"/>
        </w:rPr>
        <w:t>радиоконтроль</w:t>
      </w:r>
      <w:proofErr w:type="spellEnd"/>
      <w:r w:rsidR="002336D3" w:rsidRPr="00266795">
        <w:rPr>
          <w:color w:val="333333"/>
          <w:shd w:val="clear" w:color="auto" w:fill="FFFFFF"/>
        </w:rPr>
        <w:t>), как составной части мониторинга радиочастотного спектра</w:t>
      </w:r>
      <w:r w:rsidRPr="00266795">
        <w:rPr>
          <w:color w:val="333333"/>
          <w:shd w:val="clear" w:color="auto" w:fill="FFFFFF"/>
        </w:rPr>
        <w:t>, обеспечением электромагнитной совместимости, ведением учета радиочастотных присвоений, конверсией радиочастотного спектра, финансированием организационных мероприятий по переводу действующих радиоизлучающих средств в другие полосы радиочастот, обеспечением соблюдения прав пользователей радиоизлучающими средствами</w:t>
      </w:r>
      <w:r w:rsidR="002336D3" w:rsidRPr="00266795">
        <w:rPr>
          <w:color w:val="333333"/>
          <w:shd w:val="clear" w:color="auto" w:fill="FFFFFF"/>
        </w:rPr>
        <w:t>.</w:t>
      </w:r>
    </w:p>
    <w:p w:rsidR="00266795" w:rsidRDefault="00266795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rStyle w:val="a5"/>
          <w:color w:val="333333"/>
        </w:rPr>
        <w:t>3-2.</w:t>
      </w:r>
      <w:r w:rsidRPr="00266795">
        <w:rPr>
          <w:color w:val="333333"/>
        </w:rPr>
        <w:t xml:space="preserve"> Установить, что </w:t>
      </w:r>
      <w:proofErr w:type="spellStart"/>
      <w:r w:rsidRPr="00266795">
        <w:rPr>
          <w:color w:val="333333"/>
        </w:rPr>
        <w:t>радиоконтроль</w:t>
      </w:r>
      <w:proofErr w:type="spellEnd"/>
      <w:r w:rsidRPr="00266795">
        <w:rPr>
          <w:color w:val="333333"/>
        </w:rPr>
        <w:t xml:space="preserve"> осуществляется организацией, уполномоченной исполнительным органом государственной власти в области электросвязи, в целях: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а) проверки соблюдения пользователем установленного порядка использования радиочастотного спектра;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б) выявления не разрешенных для использования радиоизлучающих средств;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в) выявления источников радиопомех;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lastRenderedPageBreak/>
        <w:t>г) выявления нарушений установленных стандартов и требований к параметрам излучения (приема) радиоэлектронных средств;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д) обеспечения электромагнитной совместимости РИС;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е) слежения за параметрами излучений действующих РИС для формирования на постоянной основе данных об уровнях, спектре временных характеристик радиосигналов и пеленгах на радиоизлучающие средства;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ж) проведения анализа состояния электромагнитной совместимости радиоэлектронных средств с учетом основных, побочных и внеполосных излучений, а также параметров приемных трактов;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з) обеспечения эксплуатационной готовности радиочастотного спектра.</w:t>
      </w:r>
    </w:p>
    <w:p w:rsidR="00266795" w:rsidRDefault="00266795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rStyle w:val="a5"/>
          <w:color w:val="333333"/>
        </w:rPr>
        <w:t>3-3.</w:t>
      </w:r>
      <w:r w:rsidRPr="00266795">
        <w:rPr>
          <w:color w:val="333333"/>
        </w:rPr>
        <w:t> Установить, что исчисление 1-го периода использования радиочастотного спектра, за который взимается ежегодная плата, начинается со дня принятия исполнительным органом государственной власти в области электросвязи решения о выдаче Разрешения на эксплуатацию РИС.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В случаях, когда Разрешение на эксплуатацию РИС было выдано до вступления в силу настоящего Указа, исчисление 1-го периода использования радиочастотного спектра, за который взимается ежегодная плата, начинается со дня принятия исполнительным органом государственной власти в области электросвязи решения о продлении действия Разрешения на эксплуатацию РИС.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Для РИС, используемых при оказании услуг мобильной связи и услуг для целей кабельного телевещания и кабельного радиовещания, в том числе с использованием Многоканальной Многоточечной Распределительной системы (MMDS), в отношении которых исполнительным органом государственной власти в области электросвязи принято решение о выдаче Разрешения на эксплуатацию до 31 декабря 2013 года, исчисление 1-го периода использования радиочастотного спектра, за который взимается ежегодная плата, начинается с 1 января 2014 года.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6795">
        <w:rPr>
          <w:color w:val="333333"/>
        </w:rPr>
        <w:t>Размер ежегодной платы, вносимой за квартал, в течение которого было принято решение, определяется пропорционально количеству календарных дней, оставшихся до истечения квартала, а внесение такой платы осуществляется в течение 30 дней со дня, следующего за днем получения извещения пользователем радиочастотного спектра о принятии решения о выдаче Разрешения на эксплуатацию РИС.</w:t>
      </w:r>
    </w:p>
    <w:p w:rsidR="00266795" w:rsidRDefault="00266795" w:rsidP="002667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466DE" w:rsidRPr="00266795" w:rsidRDefault="004D3A81" w:rsidP="002667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6795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3-4.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Установить, что решение о назначении </w:t>
      </w:r>
      <w:r w:rsidR="000466DE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радиочастотного присвоения  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исполнительный орган государственной власти в области электросвязи принимает на основании положительного заключения экспертизы электромагнитной совместимости</w:t>
      </w:r>
      <w:r w:rsidR="000466DE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</w:t>
      </w:r>
      <w:r w:rsidR="001C65E4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466DE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решение о выдаче разрешения на эксплуатацию РИС – на основании положительного заключения о соответствии технических характеристик вводимого в эксплуатацию РИС техническим характеристикам, указанным в соответствующем ему радиочастотном присвоении, путем проведения испытаний (измерений) для РИС, определенных действующим законодательством. Экспертизу электромагнитной совместимости производить расчетным путем на основании данных, представленных в радиочастотных заявках, данных, имеющихся в действующих радиочастотных присвоениях, и официальных сведений о технических характеристиках действующих и планируемых РИС, полученных в том числе в рамках международной координации радиочастот</w:t>
      </w:r>
      <w:r w:rsidR="005D2A71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D3A81" w:rsidRPr="00266795" w:rsidRDefault="000466DE" w:rsidP="002667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Указанные экспертиза электромагнитной совместимости РИС и испытания (измерения) проводятся организацией, уполномоченной исполнительным органом государственной власти в области электросвязи, на договорной основе</w:t>
      </w:r>
      <w:r w:rsidR="004D3A81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66795" w:rsidRDefault="00266795" w:rsidP="002667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36D3" w:rsidRPr="00266795" w:rsidRDefault="004D3A81" w:rsidP="002667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6795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3-5.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Утвердить </w:t>
      </w:r>
      <w:r w:rsidR="002336D3"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Методику расчета размеров разовой платы и ежегодной платы за право доступа к радиочастотному спектру и использование радиочастотного спектра в Приднестровской Молдавской Республике (прилагается).</w:t>
      </w:r>
      <w:r w:rsidR="002336D3" w:rsidRPr="00266795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66795" w:rsidRDefault="00266795" w:rsidP="002667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D3A81" w:rsidRPr="00266795" w:rsidRDefault="004D3A81" w:rsidP="002667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6795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Pr="0026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Настоящий Указ вступает в силу со дня, следующего за днем его официального опубликования.</w:t>
      </w:r>
    </w:p>
    <w:p w:rsidR="00266795" w:rsidRDefault="00266795" w:rsidP="0026679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5"/>
          <w:color w:val="333333"/>
        </w:rPr>
      </w:pP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266795">
        <w:rPr>
          <w:rStyle w:val="a5"/>
          <w:color w:val="333333"/>
        </w:rPr>
        <w:t>Президент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266795">
        <w:rPr>
          <w:rStyle w:val="a5"/>
          <w:color w:val="333333"/>
        </w:rPr>
        <w:t>Приднестровской Молдавской Республики                                      Е. Шевчук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266795">
        <w:rPr>
          <w:color w:val="333333"/>
        </w:rPr>
        <w:t> 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266795">
        <w:rPr>
          <w:color w:val="333333"/>
        </w:rPr>
        <w:t>г. Тирасполь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266795">
        <w:rPr>
          <w:color w:val="333333"/>
        </w:rPr>
        <w:t>11 июля 2012 г.</w:t>
      </w:r>
    </w:p>
    <w:p w:rsidR="004D3A81" w:rsidRPr="00266795" w:rsidRDefault="004D3A81" w:rsidP="0026679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266795">
        <w:rPr>
          <w:color w:val="333333"/>
        </w:rPr>
        <w:t>№ 447</w:t>
      </w:r>
    </w:p>
    <w:p w:rsid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к Указу Президента Приднестровской 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Молдавской Республики 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от 11 июля 2012 года № 447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>Методика расчета размеров разовой платы и ежегодной платы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>за право доступа к радиочастотному спектру и использование радиочастотного спектра в Приднестровской Молдавской Республике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7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66795" w:rsidRPr="00266795" w:rsidRDefault="00266795" w:rsidP="00266795">
      <w:pPr>
        <w:pStyle w:val="a8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66795" w:rsidRDefault="00266795" w:rsidP="00266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6795">
        <w:rPr>
          <w:rFonts w:ascii="Times New Roman" w:hAnsi="Times New Roman" w:cs="Times New Roman"/>
          <w:sz w:val="24"/>
          <w:szCs w:val="24"/>
        </w:rPr>
        <w:t xml:space="preserve">Методика расчета размеров разовой платы и ежегодной платы за право доступа к радиочастотному спектру и использование радиочастотного спектра в Приднестровской Молдавской Республике (далее – Методика) разработана в соответствии с </w:t>
      </w:r>
      <w:hyperlink r:id="rId5" w:history="1">
        <w:r w:rsidRPr="00266795">
          <w:rPr>
            <w:rFonts w:ascii="Times New Roman" w:hAnsi="Times New Roman" w:cs="Times New Roman"/>
            <w:sz w:val="24"/>
            <w:szCs w:val="24"/>
          </w:rPr>
          <w:t>Законом Приднестровской Молдавской Республики от 29 августа 2008 года № 536-З-IV «Об электросвязи</w:t>
        </w:r>
      </w:hyperlink>
      <w:r w:rsidRPr="00266795">
        <w:rPr>
          <w:rFonts w:ascii="Times New Roman" w:hAnsi="Times New Roman" w:cs="Times New Roman"/>
          <w:sz w:val="24"/>
          <w:szCs w:val="24"/>
        </w:rPr>
        <w:t>» (САЗ 08-34) с изменениями, внесенными законами Приднестровской Молдавской Республики от 25 июня 2009 года № 793-ЗИ-IV (САЗ 09-26), от 24 мая 2011 года № 58-ЗИ-V (САЗ 11-21).</w:t>
      </w:r>
    </w:p>
    <w:p w:rsidR="00266795" w:rsidRDefault="00266795" w:rsidP="00266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6795">
        <w:rPr>
          <w:rFonts w:ascii="Times New Roman" w:hAnsi="Times New Roman" w:cs="Times New Roman"/>
          <w:sz w:val="24"/>
          <w:szCs w:val="24"/>
        </w:rPr>
        <w:t xml:space="preserve">Методика включает в себя ставки и коэффициенты, дифференцируемые в зависимости от используемых диапазонов радиочастот, максимальной необходимой ширины полосы излучения (далее – НШПИ), количества используемых радиочастот (радиочастотных каналов), эффективной излучаемой мощности и применяемых 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радиотехнологий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 xml:space="preserve"> (определяемые в Приложении № 1 к настоящей Методике).</w:t>
      </w:r>
    </w:p>
    <w:p w:rsidR="00266795" w:rsidRPr="00266795" w:rsidRDefault="00266795" w:rsidP="00266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66795">
        <w:rPr>
          <w:rFonts w:ascii="Times New Roman" w:hAnsi="Times New Roman" w:cs="Times New Roman"/>
          <w:sz w:val="24"/>
          <w:szCs w:val="24"/>
        </w:rPr>
        <w:t>Расчет количества используемых радиочастот (радиочастотных каналов) проводится в соответствии с настоящей Методикой по каждому радиочастотному присвоению и каждому разрешению на эксплуатацию радиоизлучающего средства (далее – Разрешение).</w:t>
      </w:r>
    </w:p>
    <w:p w:rsid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Округление размеров разовой и ежегодной платы за использование радиочастотного спектра, значений расчетных коэффициентов, отношения количества дней действия Разрешения в течение оплачиваемого года к количеству дней в оплачиваемом году осуществляется до двух знаков после запятой.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66795">
        <w:rPr>
          <w:rFonts w:ascii="Times New Roman" w:hAnsi="Times New Roman" w:cs="Times New Roman"/>
          <w:sz w:val="24"/>
          <w:szCs w:val="24"/>
        </w:rPr>
        <w:t>Расчет размеров разовой и ежегодной платы за использование радиочастотного спектра производится на основании данных, указанных в радиочастотной заявке, подаваемой юридическим или физическим лицом для последующей выдачи ему разрешительных документов на право использования и использование радиочастотного спектра (далее – радиочастотная заявка).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>2. Расчет размеров разовой платы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66795">
        <w:rPr>
          <w:rFonts w:ascii="Times New Roman" w:hAnsi="Times New Roman" w:cs="Times New Roman"/>
          <w:sz w:val="24"/>
          <w:szCs w:val="24"/>
        </w:rPr>
        <w:t>Размер разовой платы устанавливается по каждому назначаемому радиочастотному присвоению либо по нескольким радиочастотным присвоениям, в случае если в одном месте расположения планируется к установке несколько радиоизлучающих средств (далее – РИС), использующих повторяющиеся номиналы радиочастот (радиочастотные каналы) (см. Примечание к Таблице № 6 Приложения № 1), и рассчитывается по следующей формуле: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3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22pt" o:ole="">
            <v:imagedata r:id="rId6" o:title=""/>
          </v:shape>
          <o:OLEObject Type="Embed" ProgID="Equation.3" ShapeID="_x0000_i1025" DrawAspect="Content" ObjectID="_1700639162" r:id="rId7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где:</w:t>
      </w:r>
    </w:p>
    <w:tbl>
      <w:tblPr>
        <w:tblW w:w="8679" w:type="dxa"/>
        <w:tblInd w:w="661" w:type="dxa"/>
        <w:tblBorders>
          <w:top w:val="single" w:sz="6" w:space="0" w:color="EEEEEE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5"/>
        <w:gridCol w:w="1045"/>
        <w:gridCol w:w="6049"/>
      </w:tblGrid>
      <w:tr w:rsidR="00266795" w:rsidRPr="00266795" w:rsidTr="00266795">
        <w:trPr>
          <w:trHeight w:val="618"/>
        </w:trPr>
        <w:tc>
          <w:tcPr>
            <w:tcW w:w="93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0" w:dyaOrig="340">
                <v:shape id="_x0000_i1026" type="#_x0000_t75" style="width:18pt;height:17pt" o:ole="">
                  <v:imagedata r:id="rId8" o:title=""/>
                </v:shape>
                <o:OLEObject Type="Embed" ProgID="Equation.3" ShapeID="_x0000_i1026" DrawAspect="Content" ObjectID="_1700639163" r:id="rId9"/>
              </w:object>
            </w:r>
          </w:p>
        </w:tc>
        <w:tc>
          <w:tcPr>
            <w:tcW w:w="39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размер разовой платы, расчетных уровней минимальной заработной платы (далее – РУ МЗП);</w:t>
            </w:r>
          </w:p>
        </w:tc>
      </w:tr>
      <w:tr w:rsidR="00266795" w:rsidRPr="00266795" w:rsidTr="00266795">
        <w:trPr>
          <w:trHeight w:val="348"/>
        </w:trPr>
        <w:tc>
          <w:tcPr>
            <w:tcW w:w="93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40" w:dyaOrig="340">
                <v:shape id="_x0000_i1027" type="#_x0000_t75" style="width:17pt;height:17pt" o:ole="">
                  <v:imagedata r:id="rId10" o:title=""/>
                </v:shape>
                <o:OLEObject Type="Embed" ProgID="Equation.3" ShapeID="_x0000_i1027" DrawAspect="Content" ObjectID="_1700639164" r:id="rId11"/>
              </w:object>
            </w:r>
          </w:p>
        </w:tc>
        <w:tc>
          <w:tcPr>
            <w:tcW w:w="39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ставка разовой платы, РУ МЗП;</w:t>
            </w:r>
          </w:p>
        </w:tc>
      </w:tr>
      <w:tr w:rsidR="00266795" w:rsidRPr="00266795" w:rsidTr="00266795">
        <w:trPr>
          <w:trHeight w:val="311"/>
        </w:trPr>
        <w:tc>
          <w:tcPr>
            <w:tcW w:w="93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60" w:dyaOrig="380">
                <v:shape id="_x0000_i1028" type="#_x0000_t75" style="width:33pt;height:19pt" o:ole="">
                  <v:imagedata r:id="rId12" o:title=""/>
                </v:shape>
                <o:OLEObject Type="Embed" ProgID="Equation.3" ShapeID="_x0000_i1028" DrawAspect="Content" ObjectID="_1700639165" r:id="rId13"/>
              </w:object>
            </w:r>
          </w:p>
        </w:tc>
        <w:tc>
          <w:tcPr>
            <w:tcW w:w="39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используемый диапазон радиочастот;</w:t>
            </w:r>
          </w:p>
        </w:tc>
      </w:tr>
      <w:tr w:rsidR="00266795" w:rsidRPr="00266795" w:rsidTr="00266795">
        <w:trPr>
          <w:trHeight w:val="555"/>
        </w:trPr>
        <w:tc>
          <w:tcPr>
            <w:tcW w:w="93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40">
                <v:shape id="_x0000_i1029" type="#_x0000_t75" style="width:24pt;height:17pt" o:ole="">
                  <v:imagedata r:id="rId14" o:title=""/>
                </v:shape>
                <o:OLEObject Type="Embed" ProgID="Equation.3" ShapeID="_x0000_i1029" DrawAspect="Content" ObjectID="_1700639166" r:id="rId15"/>
              </w:object>
            </w:r>
          </w:p>
        </w:tc>
        <w:tc>
          <w:tcPr>
            <w:tcW w:w="39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количество используемых радиочастот (радиочастотных каналов);</w:t>
            </w:r>
          </w:p>
        </w:tc>
      </w:tr>
      <w:tr w:rsidR="00266795" w:rsidRPr="00266795" w:rsidTr="00266795">
        <w:trPr>
          <w:trHeight w:val="262"/>
        </w:trPr>
        <w:tc>
          <w:tcPr>
            <w:tcW w:w="93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00" w:dyaOrig="360">
                <v:shape id="_x0000_i1030" type="#_x0000_t75" style="width:30pt;height:18pt" o:ole="">
                  <v:imagedata r:id="rId16" o:title=""/>
                </v:shape>
                <o:OLEObject Type="Embed" ProgID="Equation.3" ShapeID="_x0000_i1030" DrawAspect="Content" ObjectID="_1700639167" r:id="rId17"/>
              </w:object>
            </w:r>
          </w:p>
        </w:tc>
        <w:tc>
          <w:tcPr>
            <w:tcW w:w="39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зону обслуживания радиоэлектронного средства;</w:t>
            </w:r>
          </w:p>
        </w:tc>
      </w:tr>
      <w:tr w:rsidR="00266795" w:rsidRPr="00266795" w:rsidTr="00266795">
        <w:trPr>
          <w:trHeight w:val="665"/>
        </w:trPr>
        <w:tc>
          <w:tcPr>
            <w:tcW w:w="93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20" w:dyaOrig="340">
                <v:shape id="_x0000_i1031" type="#_x0000_t75" style="width:26pt;height:17pt" o:ole="">
                  <v:imagedata r:id="rId18" o:title=""/>
                </v:shape>
                <o:OLEObject Type="Embed" ProgID="Equation.3" ShapeID="_x0000_i1031" DrawAspect="Content" ObjectID="_1700639168" r:id="rId19"/>
              </w:object>
            </w:r>
          </w:p>
        </w:tc>
        <w:tc>
          <w:tcPr>
            <w:tcW w:w="39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технологию, применяемую при использовании радиочастотного спектра.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Коэффициенты применяются в отношении каждой радиочастоты (радиочастотного канала) и/или полосы радиочастот.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Разовая плата не устанавливается для радиочастотных присвоений, назначенных для целей любительской службы радиосвязи.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>3. Расчет размера ежегодной платы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95" w:rsidRPr="00266795" w:rsidRDefault="00266795" w:rsidP="00266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66795">
        <w:rPr>
          <w:rFonts w:ascii="Times New Roman" w:hAnsi="Times New Roman" w:cs="Times New Roman"/>
          <w:sz w:val="24"/>
          <w:szCs w:val="24"/>
        </w:rPr>
        <w:t>Размер ежегодной платы устанавливается по каждому выданному Разрешению либо по нескольким Разрешениям, в случае если в одном месте расположения установлено несколько РИС, использующих повторяющиеся номиналы радиочастот (радиочастотные каналы) (см. Примечание к Таблице № 6 Приложения № 1), и рассчитывается по следующей формуле: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28"/>
          <w:sz w:val="24"/>
          <w:szCs w:val="24"/>
        </w:rPr>
        <w:object w:dxaOrig="4520" w:dyaOrig="660">
          <v:shape id="_x0000_i1032" type="#_x0000_t75" style="width:246pt;height:36pt" o:ole="">
            <v:imagedata r:id="rId20" o:title=""/>
          </v:shape>
          <o:OLEObject Type="Embed" ProgID="Equation.3" ShapeID="_x0000_i1032" DrawAspect="Content" ObjectID="_1700639169" r:id="rId21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где:</w:t>
      </w:r>
    </w:p>
    <w:tbl>
      <w:tblPr>
        <w:tblW w:w="8588" w:type="dxa"/>
        <w:tblInd w:w="7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5"/>
        <w:gridCol w:w="1045"/>
        <w:gridCol w:w="6178"/>
      </w:tblGrid>
      <w:tr w:rsidR="00266795" w:rsidRPr="00266795" w:rsidTr="00266795">
        <w:trPr>
          <w:trHeight w:val="325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340">
                <v:shape id="_x0000_i1033" type="#_x0000_t75" style="width:19pt;height:17pt" o:ole="">
                  <v:imagedata r:id="rId22" o:title=""/>
                </v:shape>
                <o:OLEObject Type="Embed" ProgID="Equation.3" ShapeID="_x0000_i1033" DrawAspect="Content" ObjectID="_1700639170" r:id="rId23"/>
              </w:object>
            </w:r>
          </w:p>
        </w:tc>
        <w:tc>
          <w:tcPr>
            <w:tcW w:w="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размер ежегодной платы, РУ МЗП;</w:t>
            </w:r>
          </w:p>
        </w:tc>
      </w:tr>
      <w:tr w:rsidR="00266795" w:rsidRPr="00266795" w:rsidTr="00266795">
        <w:trPr>
          <w:trHeight w:val="254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40" w:dyaOrig="340">
                <v:shape id="_x0000_i1034" type="#_x0000_t75" style="width:17pt;height:17pt" o:ole="">
                  <v:imagedata r:id="rId24" o:title=""/>
                </v:shape>
                <o:OLEObject Type="Embed" ProgID="Equation.3" ShapeID="_x0000_i1034" DrawAspect="Content" ObjectID="_1700639171" r:id="rId25"/>
              </w:object>
            </w:r>
          </w:p>
        </w:tc>
        <w:tc>
          <w:tcPr>
            <w:tcW w:w="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ставка ежегодной платы, РУ МЗП;</w:t>
            </w:r>
          </w:p>
        </w:tc>
      </w:tr>
      <w:tr w:rsidR="00266795" w:rsidRPr="00266795" w:rsidTr="00266795">
        <w:trPr>
          <w:trHeight w:val="168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320">
                <v:shape id="_x0000_i1035" type="#_x0000_t75" style="width:21pt;height:16pt" o:ole="">
                  <v:imagedata r:id="rId26" o:title=""/>
                </v:shape>
                <o:OLEObject Type="Embed" ProgID="Equation.3" ShapeID="_x0000_i1035" DrawAspect="Content" ObjectID="_1700639172" r:id="rId27"/>
              </w:object>
            </w:r>
          </w:p>
        </w:tc>
        <w:tc>
          <w:tcPr>
            <w:tcW w:w="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количество дней действия Разрешения в течение оплачиваемого года;</w:t>
            </w:r>
          </w:p>
        </w:tc>
      </w:tr>
      <w:tr w:rsidR="00266795" w:rsidRPr="00266795" w:rsidTr="00266795">
        <w:trPr>
          <w:trHeight w:val="159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20">
                <v:shape id="_x0000_i1036" type="#_x0000_t75" style="width:22pt;height:16pt" o:ole="">
                  <v:imagedata r:id="rId28" o:title=""/>
                </v:shape>
                <o:OLEObject Type="Embed" ProgID="Equation.3" ShapeID="_x0000_i1036" DrawAspect="Content" ObjectID="_1700639173" r:id="rId29"/>
              </w:object>
            </w:r>
          </w:p>
        </w:tc>
        <w:tc>
          <w:tcPr>
            <w:tcW w:w="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количество дней в оплачиваемом году.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Коэффициенты применяются в отношении каждой радиочастоты (радиочастотного канала) и/или полосы радиочастот.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Размер ежегодной платы по каждому Разрешению, выданному для целей любительской службы радиосвязи, составляет 0,1 РУ МЗП.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    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>4. Расчет коэффициента, учитывающего количество используемых радиочастот (радиочастотных каналов)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266795">
        <w:rPr>
          <w:rFonts w:ascii="Times New Roman" w:hAnsi="Times New Roman" w:cs="Times New Roman"/>
          <w:sz w:val="24"/>
          <w:szCs w:val="24"/>
        </w:rPr>
        <w:t>Коэффициент, учитывающий количество используемых радиочастот (радиочастотных каналов), определяется для радиоэлектронных средств (далее – РЭС) исходя из количества используемых радиочастот (радиочастотных каналов), используемых для передачи радиоизлучений, по следующей формуле: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37" type="#_x0000_t75" style="width:66pt;height:22pt" o:ole="">
            <v:imagedata r:id="rId30" o:title=""/>
          </v:shape>
          <o:OLEObject Type="Embed" ProgID="Equation.3" ShapeID="_x0000_i1037" DrawAspect="Content" ObjectID="_1700639174" r:id="rId31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где 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38" type="#_x0000_t75" style="width:21pt;height:18pt" o:ole="">
            <v:imagedata r:id="rId32" o:title=""/>
          </v:shape>
          <o:OLEObject Type="Embed" ProgID="Equation.3" ShapeID="_x0000_i1038" DrawAspect="Content" ObjectID="_1700639175" r:id="rId33"/>
        </w:object>
      </w:r>
      <w:r w:rsidRPr="00266795">
        <w:rPr>
          <w:rFonts w:ascii="Times New Roman" w:hAnsi="Times New Roman" w:cs="Times New Roman"/>
          <w:sz w:val="24"/>
          <w:szCs w:val="24"/>
        </w:rPr>
        <w:t>– количество радиочастот (радиочастотных каналов), используемых для передачи радиоизлучений.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Примечание: Количество 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39" type="#_x0000_t75" style="width:21pt;height:18pt" o:ole="">
            <v:imagedata r:id="rId32" o:title=""/>
          </v:shape>
          <o:OLEObject Type="Embed" ProgID="Equation.3" ShapeID="_x0000_i1039" DrawAspect="Content" ObjectID="_1700639176" r:id="rId34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в случае использования РЭС многоканальной многоточечной распределительной системы (далее – система MMDS) рассчитывается в соответствии с пунктом 10 настоящей Методики.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При использовании радиочастотного спектра станцией службы радиосвязи, осуществляющей связь со станциями данной службы радиосвязи, не требующими процедуры их регистрации, а также в случае если РЭС является земной станцией спутниковой связи (далее – ЗССС) или узловой (центральной) станцией VSAT, значение коэффициента  </w:t>
      </w:r>
      <w:r w:rsidRPr="00266795">
        <w:rPr>
          <w:rFonts w:ascii="Times New Roman" w:hAnsi="Times New Roman" w:cs="Times New Roman"/>
          <w:position w:val="-10"/>
          <w:sz w:val="24"/>
          <w:szCs w:val="24"/>
        </w:rPr>
        <w:object w:dxaOrig="480" w:dyaOrig="340">
          <v:shape id="_x0000_i1040" type="#_x0000_t75" style="width:24pt;height:17pt" o:ole="">
            <v:imagedata r:id="rId35" o:title=""/>
          </v:shape>
          <o:OLEObject Type="Embed" ProgID="Equation.3" ShapeID="_x0000_i1040" DrawAspect="Content" ObjectID="_1700639177" r:id="rId36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1680" w:dyaOrig="360">
          <v:shape id="_x0000_i1041" type="#_x0000_t75" style="width:108pt;height:24pt" o:ole="">
            <v:imagedata r:id="rId37" o:title=""/>
          </v:shape>
          <o:OLEObject Type="Embed" ProgID="Equation.3" ShapeID="_x0000_i1041" DrawAspect="Content" ObjectID="_1700639178" r:id="rId38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где 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42" type="#_x0000_t75" style="width:21pt;height:18pt" o:ole="">
            <v:imagedata r:id="rId39" o:title=""/>
          </v:shape>
          <o:OLEObject Type="Embed" ProgID="Equation.3" ShapeID="_x0000_i1042" DrawAspect="Content" ObjectID="_1700639179" r:id="rId40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– количество радиочастот (радиочастотных каналов), используемых для приема радиоизлучений. Для определения 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43" type="#_x0000_t75" style="width:21pt;height:18pt" o:ole="">
            <v:imagedata r:id="rId39" o:title=""/>
          </v:shape>
          <o:OLEObject Type="Embed" ProgID="Equation.3" ShapeID="_x0000_i1043" DrawAspect="Content" ObjectID="_1700639180" r:id="rId41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используются те же принципы расчета, что и для 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44" type="#_x0000_t75" style="width:21pt;height:18pt" o:ole="">
            <v:imagedata r:id="rId42" o:title=""/>
          </v:shape>
          <o:OLEObject Type="Embed" ProgID="Equation.3" ShapeID="_x0000_i1044" DrawAspect="Content" ObjectID="_1700639181" r:id="rId43"/>
        </w:object>
      </w:r>
      <w:r w:rsidRPr="00266795">
        <w:rPr>
          <w:rFonts w:ascii="Times New Roman" w:hAnsi="Times New Roman" w:cs="Times New Roman"/>
          <w:sz w:val="24"/>
          <w:szCs w:val="24"/>
        </w:rPr>
        <w:t>.</w:t>
      </w:r>
    </w:p>
    <w:p w:rsidR="00266795" w:rsidRPr="00266795" w:rsidRDefault="00266795" w:rsidP="00266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66795">
        <w:rPr>
          <w:rFonts w:ascii="Times New Roman" w:hAnsi="Times New Roman" w:cs="Times New Roman"/>
          <w:sz w:val="24"/>
          <w:szCs w:val="24"/>
        </w:rPr>
        <w:t>Расчет количества </w:t>
      </w:r>
      <w:r w:rsidRPr="00266795">
        <w:rPr>
          <w:position w:val="-12"/>
        </w:rPr>
        <w:object w:dxaOrig="420" w:dyaOrig="360">
          <v:shape id="_x0000_i1045" type="#_x0000_t75" style="width:21pt;height:18pt" o:ole="">
            <v:imagedata r:id="rId42" o:title=""/>
          </v:shape>
          <o:OLEObject Type="Embed" ProgID="Equation.3" ShapeID="_x0000_i1045" DrawAspect="Content" ObjectID="_1700639182" r:id="rId44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осуществляется для каждого места расположения РЭС путем суммирования количества радиочастот (радиочастотных каналов), используемых РЭС для передачи радиоизлучений в данном месте расположения.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Для каждого места расположения РЭС учитываются только неповторяющиеся номиналы радиочастот (радиочастотные каналы). Повторяющиеся номиналы радиочастот (радиочастотные каналы) одного или разных РЭС, установленных в одном месте расположения, учитываются один раз.</w:t>
      </w:r>
    </w:p>
    <w:p w:rsidR="00266795" w:rsidRPr="00266795" w:rsidRDefault="00266795" w:rsidP="00266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66795">
        <w:rPr>
          <w:rFonts w:ascii="Times New Roman" w:hAnsi="Times New Roman" w:cs="Times New Roman"/>
          <w:sz w:val="24"/>
          <w:szCs w:val="24"/>
        </w:rPr>
        <w:t>Если в радиочастотной заявке указана только полоса радиочастот, используемая РЭС для передачи радиоизлучений, без распределения ее на радиочастотные каналы, расчет количества </w:t>
      </w:r>
      <w:r w:rsidRPr="00266795">
        <w:rPr>
          <w:position w:val="-12"/>
        </w:rPr>
        <w:object w:dxaOrig="420" w:dyaOrig="360">
          <v:shape id="_x0000_i1046" type="#_x0000_t75" style="width:21pt;height:18pt" o:ole="">
            <v:imagedata r:id="rId42" o:title=""/>
          </v:shape>
          <o:OLEObject Type="Embed" ProgID="Equation.3" ShapeID="_x0000_i1046" DrawAspect="Content" ObjectID="_1700639183" r:id="rId45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(за исключением РЭС системы MMDS) определяется по формуле: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28"/>
          <w:sz w:val="24"/>
          <w:szCs w:val="24"/>
        </w:rPr>
        <w:object w:dxaOrig="2840" w:dyaOrig="680">
          <v:shape id="_x0000_i1047" type="#_x0000_t75" style="width:173pt;height:41pt" o:ole="">
            <v:imagedata r:id="rId46" o:title=""/>
          </v:shape>
          <o:OLEObject Type="Embed" ProgID="Equation.3" ShapeID="_x0000_i1047" DrawAspect="Content" ObjectID="_1700639184" r:id="rId47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где:  </w:t>
      </w:r>
    </w:p>
    <w:tbl>
      <w:tblPr>
        <w:tblW w:w="8306" w:type="dxa"/>
        <w:tblCellSpacing w:w="0" w:type="dxa"/>
        <w:tblInd w:w="4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1045"/>
        <w:gridCol w:w="5796"/>
      </w:tblGrid>
      <w:tr w:rsidR="00266795" w:rsidRPr="00266795" w:rsidTr="00266795">
        <w:trPr>
          <w:trHeight w:val="411"/>
          <w:tblCellSpacing w:w="0" w:type="dxa"/>
        </w:trPr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60" w:dyaOrig="360">
                <v:shape id="_x0000_i1048" type="#_x0000_t75" style="width:24pt;height:18pt" o:ole="">
                  <v:imagedata r:id="rId48" o:title=""/>
                </v:shape>
                <o:OLEObject Type="Embed" ProgID="Equation.3" ShapeID="_x0000_i1048" DrawAspect="Content" ObjectID="_1700639185" r:id="rId49"/>
              </w:objec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максимальная радиочастота используемой полосы радиочастот для передачи радиоизлучений (МГц);</w:t>
            </w:r>
          </w:p>
        </w:tc>
      </w:tr>
      <w:tr w:rsidR="00266795" w:rsidRPr="00266795" w:rsidTr="00266795">
        <w:trPr>
          <w:trHeight w:val="411"/>
          <w:tblCellSpacing w:w="0" w:type="dxa"/>
        </w:trPr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40">
                <v:shape id="_x0000_i1049" type="#_x0000_t75" style="width:22pt;height:17pt" o:ole="">
                  <v:imagedata r:id="rId50" o:title=""/>
                </v:shape>
                <o:OLEObject Type="Embed" ProgID="Equation.3" ShapeID="_x0000_i1049" DrawAspect="Content" ObjectID="_1700639186" r:id="rId51"/>
              </w:objec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минимальная радиочастота используемой полосы радиочастот для передачи радиоизлучений (МГц);</w:t>
            </w:r>
          </w:p>
        </w:tc>
      </w:tr>
      <w:tr w:rsidR="00266795" w:rsidRPr="00266795" w:rsidTr="00266795">
        <w:trPr>
          <w:trHeight w:val="584"/>
          <w:tblCellSpacing w:w="0" w:type="dxa"/>
        </w:trPr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50" type="#_x0000_t75" style="width:11pt;height:15pt" o:ole="">
                  <v:imagedata r:id="rId52" o:title=""/>
                </v:shape>
                <o:OLEObject Type="Embed" ProgID="Equation.3" ShapeID="_x0000_i1050" DrawAspect="Content" ObjectID="_1700639187" r:id="rId53"/>
              </w:objec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полос радиочастот для передачи радиоизлучений (шт.).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Примечание: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Если при расчете количества 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051" type="#_x0000_t75" style="width:20pt;height:18pt" o:ole="">
            <v:imagedata r:id="rId54" o:title=""/>
          </v:shape>
          <o:OLEObject Type="Embed" ProgID="Equation.3" ShapeID="_x0000_i1051" DrawAspect="Content" ObjectID="_1700639188" r:id="rId55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полученное значение не является целым числом, то оно округляется не более чем до двух знаков после запятой.</w:t>
      </w:r>
    </w:p>
    <w:p w:rsidR="00266795" w:rsidRPr="00266795" w:rsidRDefault="00266795" w:rsidP="00266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66795">
        <w:rPr>
          <w:rFonts w:ascii="Times New Roman" w:hAnsi="Times New Roman" w:cs="Times New Roman"/>
          <w:sz w:val="24"/>
          <w:szCs w:val="24"/>
        </w:rPr>
        <w:t xml:space="preserve">Для РЭС системы </w:t>
      </w:r>
      <w:r w:rsidRPr="00266795">
        <w:rPr>
          <w:rFonts w:ascii="Times New Roman" w:hAnsi="Times New Roman" w:cs="Times New Roman"/>
          <w:sz w:val="24"/>
          <w:szCs w:val="24"/>
          <w:lang w:val="en-US"/>
        </w:rPr>
        <w:t>MMDS</w:t>
      </w:r>
      <w:r w:rsidRPr="00266795">
        <w:rPr>
          <w:rFonts w:ascii="Times New Roman" w:hAnsi="Times New Roman" w:cs="Times New Roman"/>
          <w:sz w:val="24"/>
          <w:szCs w:val="24"/>
        </w:rPr>
        <w:t xml:space="preserve"> количество </w:t>
      </w:r>
      <w:r w:rsidRPr="00266795">
        <w:rPr>
          <w:position w:val="-12"/>
        </w:rPr>
        <w:object w:dxaOrig="400" w:dyaOrig="360">
          <v:shape id="_x0000_i1052" type="#_x0000_t75" style="width:20pt;height:18pt" o:ole="">
            <v:imagedata r:id="rId54" o:title=""/>
          </v:shape>
          <o:OLEObject Type="Embed" ProgID="Equation.3" ShapeID="_x0000_i1052" DrawAspect="Content" ObjectID="_1700639189" r:id="rId56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 и берется равным целой части полученного числа: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28"/>
          <w:sz w:val="24"/>
          <w:szCs w:val="24"/>
        </w:rPr>
        <w:object w:dxaOrig="2880" w:dyaOrig="680">
          <v:shape id="_x0000_i1053" type="#_x0000_t75" style="width:165pt;height:39pt" o:ole="">
            <v:imagedata r:id="rId57" o:title=""/>
          </v:shape>
          <o:OLEObject Type="Embed" ProgID="Equation.3" ShapeID="_x0000_i1053" DrawAspect="Content" ObjectID="_1700639190" r:id="rId58"/>
        </w:object>
      </w:r>
      <w:r w:rsidRPr="00266795">
        <w:rPr>
          <w:rFonts w:ascii="Times New Roman" w:hAnsi="Times New Roman" w:cs="Times New Roman"/>
          <w:sz w:val="24"/>
          <w:szCs w:val="24"/>
        </w:rPr>
        <w:t>.</w:t>
      </w:r>
    </w:p>
    <w:p w:rsidR="00266795" w:rsidRPr="00266795" w:rsidRDefault="00266795" w:rsidP="00266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66795">
        <w:rPr>
          <w:rFonts w:ascii="Times New Roman" w:hAnsi="Times New Roman" w:cs="Times New Roman"/>
          <w:sz w:val="24"/>
          <w:szCs w:val="24"/>
        </w:rPr>
        <w:t xml:space="preserve">Расчет количества </w:t>
      </w:r>
      <w:r w:rsidRPr="00266795">
        <w:rPr>
          <w:position w:val="-12"/>
        </w:rPr>
        <w:object w:dxaOrig="400" w:dyaOrig="360">
          <v:shape id="_x0000_i1054" type="#_x0000_t75" style="width:20pt;height:18pt" o:ole="">
            <v:imagedata r:id="rId54" o:title=""/>
          </v:shape>
          <o:OLEObject Type="Embed" ProgID="Equation.3" ShapeID="_x0000_i1054" DrawAspect="Content" ObjectID="_1700639191" r:id="rId59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для РЭС ЗССС и узловых (центральных) станций </w:t>
      </w:r>
      <w:r w:rsidRPr="00266795">
        <w:rPr>
          <w:rFonts w:ascii="Times New Roman" w:hAnsi="Times New Roman" w:cs="Times New Roman"/>
          <w:sz w:val="24"/>
          <w:szCs w:val="24"/>
          <w:lang w:val="en-US"/>
        </w:rPr>
        <w:t>VSAT</w:t>
      </w:r>
      <w:r w:rsidRPr="00266795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30"/>
          <w:sz w:val="24"/>
          <w:szCs w:val="24"/>
        </w:rPr>
        <w:object w:dxaOrig="4440" w:dyaOrig="720">
          <v:shape id="_x0000_i1055" type="#_x0000_t75" style="width:250pt;height:40pt" o:ole="">
            <v:imagedata r:id="rId60" o:title=""/>
          </v:shape>
          <o:OLEObject Type="Embed" ProgID="Equation.3" ShapeID="_x0000_i1055" DrawAspect="Content" ObjectID="_1700639192" r:id="rId61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где: </w:t>
      </w:r>
    </w:p>
    <w:tbl>
      <w:tblPr>
        <w:tblW w:w="945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3"/>
        <w:gridCol w:w="7597"/>
      </w:tblGrid>
      <w:tr w:rsidR="00266795" w:rsidRPr="00266795" w:rsidTr="00266795">
        <w:trPr>
          <w:trHeight w:val="279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60" w:dyaOrig="360">
                <v:shape id="_x0000_i1056" type="#_x0000_t75" style="width:24pt;height:18pt" o:ole="">
                  <v:imagedata r:id="rId48" o:title=""/>
                </v:shape>
                <o:OLEObject Type="Embed" ProgID="Equation.3" ShapeID="_x0000_i1056" DrawAspect="Content" ObjectID="_1700639193" r:id="rId62"/>
              </w:object>
            </w:r>
          </w:p>
        </w:tc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максимальная радиочастота используемой полосы радиочастот (МГц);</w:t>
            </w:r>
          </w:p>
        </w:tc>
      </w:tr>
      <w:tr w:rsidR="00266795" w:rsidRPr="00266795" w:rsidTr="00266795">
        <w:trPr>
          <w:trHeight w:val="197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40">
                <v:shape id="_x0000_i1057" type="#_x0000_t75" style="width:22pt;height:17pt" o:ole="">
                  <v:imagedata r:id="rId63" o:title=""/>
                </v:shape>
                <o:OLEObject Type="Embed" ProgID="Equation.3" ShapeID="_x0000_i1057" DrawAspect="Content" ObjectID="_1700639194" r:id="rId64"/>
              </w:object>
            </w:r>
          </w:p>
        </w:tc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минимальная радиочастота используемой полосы радиочастот (МГц);</w:t>
            </w:r>
          </w:p>
        </w:tc>
      </w:tr>
      <w:tr w:rsidR="00266795" w:rsidRPr="00266795" w:rsidTr="00266795">
        <w:trPr>
          <w:trHeight w:val="150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58" type="#_x0000_t75" style="width:11pt;height:15pt" o:ole="">
                  <v:imagedata r:id="rId52" o:title=""/>
                </v:shape>
                <o:OLEObject Type="Embed" ProgID="Equation.3" ShapeID="_x0000_i1058" DrawAspect="Content" ObjectID="_1700639195" r:id="rId65"/>
              </w:object>
            </w:r>
          </w:p>
        </w:tc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полос радиочастот (шт.);</w:t>
            </w:r>
          </w:p>
        </w:tc>
      </w:tr>
      <w:tr w:rsidR="00266795" w:rsidRPr="00266795" w:rsidTr="00266795">
        <w:trPr>
          <w:trHeight w:val="425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99" w:dyaOrig="380">
                <v:shape id="_x0000_i1059" type="#_x0000_t75" style="width:50pt;height:19pt" o:ole="">
                  <v:imagedata r:id="rId66" o:title=""/>
                </v:shape>
                <o:OLEObject Type="Embed" ProgID="Equation.3" ShapeID="_x0000_i1059" DrawAspect="Content" ObjectID="_1700639196" r:id="rId67"/>
              </w:object>
            </w:r>
          </w:p>
        </w:tc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НШПИ, указанная в классе излучения для данной радиочастоты (радиочастотного канала), (МГц);</w:t>
            </w:r>
          </w:p>
        </w:tc>
      </w:tr>
      <w:tr w:rsidR="00266795" w:rsidRPr="00266795" w:rsidTr="00266795">
        <w:trPr>
          <w:trHeight w:val="291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60" type="#_x0000_t75" style="width:16pt;height:13pt" o:ole="">
                  <v:imagedata r:id="rId68" o:title=""/>
                </v:shape>
                <o:OLEObject Type="Embed" ProgID="Equation.3" ShapeID="_x0000_i1060" DrawAspect="Content" ObjectID="_1700639197" r:id="rId69"/>
              </w:object>
            </w:r>
          </w:p>
        </w:tc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количество номиналов используемых радиочастот (шт.).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Примечания: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1. При расчете количества 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061" type="#_x0000_t75" style="width:20pt;height:18pt" o:ole="">
            <v:imagedata r:id="rId54" o:title=""/>
          </v:shape>
          <o:OLEObject Type="Embed" ProgID="Equation.3" ShapeID="_x0000_i1061" DrawAspect="Content" ObjectID="_1700639198" r:id="rId70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величины значений 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62" type="#_x0000_t75" style="width:24pt;height:18pt" o:ole="">
            <v:imagedata r:id="rId48" o:title=""/>
          </v:shape>
          <o:OLEObject Type="Embed" ProgID="Equation.3" ShapeID="_x0000_i1062" DrawAspect="Content" ObjectID="_1700639199" r:id="rId71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, </w:t>
      </w:r>
      <w:r w:rsidRPr="00266795">
        <w:rPr>
          <w:rFonts w:ascii="Times New Roman" w:hAnsi="Times New Roman" w:cs="Times New Roman"/>
          <w:position w:val="-10"/>
          <w:sz w:val="24"/>
          <w:szCs w:val="24"/>
        </w:rPr>
        <w:object w:dxaOrig="440" w:dyaOrig="340">
          <v:shape id="_x0000_i1063" type="#_x0000_t75" style="width:22pt;height:17pt" o:ole="">
            <v:imagedata r:id="rId63" o:title=""/>
          </v:shape>
          <o:OLEObject Type="Embed" ProgID="Equation.3" ShapeID="_x0000_i1063" DrawAspect="Content" ObjectID="_1700639200" r:id="rId72"/>
        </w:object>
      </w:r>
      <w:r w:rsidRPr="00266795">
        <w:rPr>
          <w:rFonts w:ascii="Times New Roman" w:hAnsi="Times New Roman" w:cs="Times New Roman"/>
          <w:sz w:val="24"/>
          <w:szCs w:val="24"/>
        </w:rPr>
        <w:t>,</w:t>
      </w:r>
      <w:r w:rsidRPr="00266795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64" type="#_x0000_t75" style="width:11pt;height:15pt" o:ole="">
            <v:imagedata r:id="rId52" o:title=""/>
          </v:shape>
          <o:OLEObject Type="Embed" ProgID="Equation.3" ShapeID="_x0000_i1064" DrawAspect="Content" ObjectID="_1700639201" r:id="rId73"/>
        </w:object>
      </w:r>
      <w:r w:rsidRPr="00266795">
        <w:rPr>
          <w:rFonts w:ascii="Times New Roman" w:hAnsi="Times New Roman" w:cs="Times New Roman"/>
          <w:sz w:val="24"/>
          <w:szCs w:val="24"/>
        </w:rPr>
        <w:t>, </w:t>
      </w: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999" w:dyaOrig="380">
          <v:shape id="_x0000_i1065" type="#_x0000_t75" style="width:50pt;height:19pt" o:ole="">
            <v:imagedata r:id="rId66" o:title=""/>
          </v:shape>
          <o:OLEObject Type="Embed" ProgID="Equation.3" ShapeID="_x0000_i1065" DrawAspect="Content" ObjectID="_1700639202" r:id="rId74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и </w:t>
      </w:r>
      <w:r w:rsidRPr="00266795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66" type="#_x0000_t75" style="width:16pt;height:13pt" o:ole="">
            <v:imagedata r:id="rId68" o:title=""/>
          </v:shape>
          <o:OLEObject Type="Embed" ProgID="Equation.3" ShapeID="_x0000_i1066" DrawAspect="Content" ObjectID="_1700639203" r:id="rId75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берутся применительно к радиочастотам (радиочастотным каналам), используемым для передачи радиоизлучений.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2. Если используемые радиочастоты указаны полосой радиочастот, то </w:t>
      </w:r>
      <w:r w:rsidRPr="00266795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67" type="#_x0000_t75" style="width:16pt;height:13pt" o:ole="">
            <v:imagedata r:id="rId68" o:title=""/>
          </v:shape>
          <o:OLEObject Type="Embed" ProgID="Equation.3" ShapeID="_x0000_i1067" DrawAspect="Content" ObjectID="_1700639204" r:id="rId76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и </w:t>
      </w: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999" w:dyaOrig="380">
          <v:shape id="_x0000_i1068" type="#_x0000_t75" style="width:50pt;height:19pt" o:ole="">
            <v:imagedata r:id="rId66" o:title=""/>
          </v:shape>
          <o:OLEObject Type="Embed" ProgID="Equation.3" ShapeID="_x0000_i1068" DrawAspect="Content" ObjectID="_1700639205" r:id="rId77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при расчете не учитываются.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3. Если указаны только номиналы используемых радиочастот, то </w:t>
      </w:r>
      <w:r w:rsidRPr="00266795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69" type="#_x0000_t75" style="width:11pt;height:15pt" o:ole="">
            <v:imagedata r:id="rId52" o:title=""/>
          </v:shape>
          <o:OLEObject Type="Embed" ProgID="Equation.3" ShapeID="_x0000_i1069" DrawAspect="Content" ObjectID="_1700639206" r:id="rId78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, 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70" type="#_x0000_t75" style="width:24pt;height:18pt" o:ole="">
            <v:imagedata r:id="rId48" o:title=""/>
          </v:shape>
          <o:OLEObject Type="Embed" ProgID="Equation.3" ShapeID="_x0000_i1070" DrawAspect="Content" ObjectID="_1700639207" r:id="rId79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, </w:t>
      </w:r>
      <w:r w:rsidRPr="00266795">
        <w:rPr>
          <w:rFonts w:ascii="Times New Roman" w:hAnsi="Times New Roman" w:cs="Times New Roman"/>
          <w:position w:val="-10"/>
          <w:sz w:val="24"/>
          <w:szCs w:val="24"/>
        </w:rPr>
        <w:object w:dxaOrig="440" w:dyaOrig="340">
          <v:shape id="_x0000_i1071" type="#_x0000_t75" style="width:22pt;height:17pt" o:ole="">
            <v:imagedata r:id="rId63" o:title=""/>
          </v:shape>
          <o:OLEObject Type="Embed" ProgID="Equation.3" ShapeID="_x0000_i1071" DrawAspect="Content" ObjectID="_1700639208" r:id="rId80"/>
        </w:object>
      </w:r>
      <w:r w:rsidRPr="00266795">
        <w:rPr>
          <w:rFonts w:ascii="Times New Roman" w:hAnsi="Times New Roman" w:cs="Times New Roman"/>
          <w:sz w:val="24"/>
          <w:szCs w:val="24"/>
        </w:rPr>
        <w:t>при расчете не учитываются.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4. Если для номиналов используемых радиочастот указаны несколько разных классов излучения, то вычисления производятся по классу излучения с максимальной </w:t>
      </w: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999" w:dyaOrig="380">
          <v:shape id="_x0000_i1072" type="#_x0000_t75" style="width:50pt;height:19pt" o:ole="">
            <v:imagedata r:id="rId66" o:title=""/>
          </v:shape>
          <o:OLEObject Type="Embed" ProgID="Equation.3" ShapeID="_x0000_i1072" DrawAspect="Content" ObjectID="_1700639209" r:id="rId81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для этой рабочей радиочастоты.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11-1. В случае если РЭС предполагается к частичному использованию для трансляции программ, определяемых государственным заказом на теле- и радиотрансляцию (далее – программы госзаказа), количество 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073" type="#_x0000_t75" style="width:20pt;height:18pt" o:ole="">
            <v:imagedata r:id="rId54" o:title=""/>
          </v:shape>
          <o:OLEObject Type="Embed" ProgID="Equation.3" ShapeID="_x0000_i1073" DrawAspect="Content" ObjectID="_1700639210" r:id="rId82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по каждому радиочастотному присвоению и Разрешению определяется пропорционально доле задействованного радиочастотного спектра, используемого для ретрансляции программ госзаказа, либо количеству программ госзаказа и рассчитывается по формулам: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- для РЭС системы MMDS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2620" w:dyaOrig="360">
          <v:shape id="_x0000_i1074" type="#_x0000_t75" style="width:154pt;height:21pt" o:ole="">
            <v:imagedata r:id="rId83" o:title=""/>
          </v:shape>
          <o:OLEObject Type="Embed" ProgID="Equation.3" ShapeID="_x0000_i1074" DrawAspect="Content" ObjectID="_1700639211" r:id="rId84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где:</w:t>
      </w:r>
    </w:p>
    <w:tbl>
      <w:tblPr>
        <w:tblW w:w="8199" w:type="dxa"/>
        <w:tblInd w:w="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5"/>
        <w:gridCol w:w="1045"/>
        <w:gridCol w:w="4409"/>
      </w:tblGrid>
      <w:tr w:rsidR="00266795" w:rsidRPr="00266795" w:rsidTr="00266795">
        <w:trPr>
          <w:trHeight w:val="649"/>
        </w:trPr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860" w:dyaOrig="680">
                <v:shape id="_x0000_i1075" type="#_x0000_t75" style="width:88pt;height:32pt" o:ole="">
                  <v:imagedata r:id="rId85" o:title=""/>
                </v:shape>
                <o:OLEObject Type="Embed" ProgID="Equation.3" ShapeID="_x0000_i1075" DrawAspect="Content" ObjectID="_1700639212" r:id="rId86"/>
              </w:objec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полоса радиочастот, используемая РЭС (МГц);</w:t>
            </w:r>
          </w:p>
        </w:tc>
      </w:tr>
      <w:tr w:rsidR="00266795" w:rsidRPr="00266795" w:rsidTr="00266795">
        <w:trPr>
          <w:trHeight w:val="618"/>
        </w:trPr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00" w:dyaOrig="360">
                <v:shape id="_x0000_i1076" type="#_x0000_t75" style="width:30pt;height:18pt" o:ole="">
                  <v:imagedata r:id="rId87" o:title=""/>
                </v:shape>
                <o:OLEObject Type="Embed" ProgID="Equation.3" ShapeID="_x0000_i1076" DrawAspect="Content" ObjectID="_1700639213" r:id="rId88"/>
              </w:objec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полоса радиочастот (суммарная), используемая для трансляции программ, кроме программ госзаказа (МГц).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Примечание: Количество 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077" type="#_x0000_t75" style="width:20pt;height:18pt" o:ole="">
            <v:imagedata r:id="rId54" o:title=""/>
          </v:shape>
          <o:OLEObject Type="Embed" ProgID="Equation.3" ShapeID="_x0000_i1077" DrawAspect="Content" ObjectID="_1700639214" r:id="rId89"/>
        </w:object>
      </w:r>
      <w:r w:rsidRPr="00266795">
        <w:rPr>
          <w:rFonts w:ascii="Times New Roman" w:hAnsi="Times New Roman" w:cs="Times New Roman"/>
          <w:sz w:val="24"/>
          <w:szCs w:val="24"/>
        </w:rPr>
        <w:t> для РЭС системы MMDS рассчитывается по приведенной формуле и берется равным целой части полученного числа;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- для РЭС, использующих стандарт наземного цифрового телевизионного вещания DVB-T/T2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32"/>
          <w:sz w:val="24"/>
          <w:szCs w:val="24"/>
        </w:rPr>
        <w:object w:dxaOrig="3140" w:dyaOrig="700">
          <v:shape id="_x0000_i1078" type="#_x0000_t75" style="width:171pt;height:38pt" o:ole="">
            <v:imagedata r:id="rId90" o:title=""/>
          </v:shape>
          <o:OLEObject Type="Embed" ProgID="Equation.3" ShapeID="_x0000_i1078" DrawAspect="Content" ObjectID="_1700639215" r:id="rId91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lastRenderedPageBreak/>
        <w:t>  где: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1045"/>
        <w:gridCol w:w="6286"/>
      </w:tblGrid>
      <w:tr w:rsidR="00266795" w:rsidRPr="00266795" w:rsidTr="00266795"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39" w:dyaOrig="360">
                <v:shape id="_x0000_i1079" type="#_x0000_t75" style="width:32pt;height:18pt" o:ole="">
                  <v:imagedata r:id="rId92" o:title=""/>
                </v:shape>
                <o:OLEObject Type="Embed" ProgID="Equation.3" ShapeID="_x0000_i1079" DrawAspect="Content" ObjectID="_1700639216" r:id="rId93"/>
              </w:object>
            </w:r>
          </w:p>
        </w:tc>
        <w:tc>
          <w:tcPr>
            <w:tcW w:w="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количество телевизионных программ стандартной четкости, не входящих в состав программ госзаказа (шт.);</w:t>
            </w:r>
          </w:p>
        </w:tc>
      </w:tr>
      <w:tr w:rsidR="00266795" w:rsidRPr="00266795" w:rsidTr="00266795"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40" w:dyaOrig="380">
                <v:shape id="_x0000_i1080" type="#_x0000_t75" style="width:52pt;height:19pt" o:ole="">
                  <v:imagedata r:id="rId94" o:title=""/>
                </v:shape>
                <o:OLEObject Type="Embed" ProgID="Equation.3" ShapeID="_x0000_i1080" DrawAspect="Content" ObjectID="_1700639217" r:id="rId95"/>
              </w:object>
            </w:r>
          </w:p>
        </w:tc>
        <w:tc>
          <w:tcPr>
            <w:tcW w:w="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общее количество телевизионных программ стандартной четкости, транслируемых РЭС (шт.);</w:t>
            </w:r>
          </w:p>
        </w:tc>
      </w:tr>
      <w:tr w:rsidR="00266795" w:rsidRPr="00266795" w:rsidTr="00266795"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80" w:dyaOrig="360">
                <v:shape id="_x0000_i1081" type="#_x0000_t75" style="width:34pt;height:18pt" o:ole="">
                  <v:imagedata r:id="rId96" o:title=""/>
                </v:shape>
                <o:OLEObject Type="Embed" ProgID="Equation.3" ShapeID="_x0000_i1081" DrawAspect="Content" ObjectID="_1700639218" r:id="rId97"/>
              </w:object>
            </w:r>
          </w:p>
        </w:tc>
        <w:tc>
          <w:tcPr>
            <w:tcW w:w="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количество телевизионных программ высокой четкости, не входящих в состав программ госзаказа (шт.);</w:t>
            </w:r>
          </w:p>
        </w:tc>
      </w:tr>
      <w:tr w:rsidR="00266795" w:rsidRPr="00266795" w:rsidTr="00266795"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60" w:dyaOrig="380">
                <v:shape id="_x0000_i1082" type="#_x0000_t75" style="width:45pt;height:16pt" o:ole="">
                  <v:imagedata r:id="rId98" o:title=""/>
                </v:shape>
                <o:OLEObject Type="Embed" ProgID="Equation.3" ShapeID="_x0000_i1082" DrawAspect="Content" ObjectID="_1700639219" r:id="rId99"/>
              </w:object>
            </w:r>
          </w:p>
        </w:tc>
        <w:tc>
          <w:tcPr>
            <w:tcW w:w="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общее количество телевизионных программ высокой четкости, транслируемых РЭС (шт.).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 xml:space="preserve">5. Расчет коэффициента, учитывающего технологию, применяемую </w:t>
      </w:r>
      <w:r w:rsidRPr="00266795">
        <w:rPr>
          <w:rFonts w:ascii="Times New Roman" w:hAnsi="Times New Roman" w:cs="Times New Roman"/>
          <w:b/>
          <w:sz w:val="24"/>
          <w:szCs w:val="24"/>
        </w:rPr>
        <w:br/>
        <w:t>при использовании радиочастотного спектра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66795">
        <w:rPr>
          <w:rFonts w:ascii="Times New Roman" w:hAnsi="Times New Roman" w:cs="Times New Roman"/>
          <w:sz w:val="24"/>
          <w:szCs w:val="24"/>
        </w:rPr>
        <w:t>Коэффициент, учитывающий технологию, применяемую при использовании радиочастотного спектра, рассчитывается по следующей формуле: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3140" w:dyaOrig="380">
          <v:shape id="_x0000_i1083" type="#_x0000_t75" style="width:157pt;height:19pt" o:ole="">
            <v:imagedata r:id="rId100" o:title=""/>
          </v:shape>
          <o:OLEObject Type="Embed" ProgID="Equation.3" ShapeID="_x0000_i1083" DrawAspect="Content" ObjectID="_1700639220" r:id="rId101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где:</w:t>
      </w:r>
    </w:p>
    <w:tbl>
      <w:tblPr>
        <w:tblW w:w="8811" w:type="dxa"/>
        <w:tblInd w:w="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045"/>
        <w:gridCol w:w="6081"/>
      </w:tblGrid>
      <w:tr w:rsidR="00266795" w:rsidRPr="00266795" w:rsidTr="00266795">
        <w:trPr>
          <w:trHeight w:val="518"/>
        </w:trPr>
        <w:tc>
          <w:tcPr>
            <w:tcW w:w="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60" w:dyaOrig="360">
                <v:shape id="_x0000_i1084" type="#_x0000_t75" style="width:38pt;height:18pt" o:ole="">
                  <v:imagedata r:id="rId102" o:title=""/>
                </v:shape>
                <o:OLEObject Type="Embed" ProgID="Equation.3" ShapeID="_x0000_i1084" DrawAspect="Content" ObjectID="_1700639221" r:id="rId103"/>
              </w:object>
            </w:r>
          </w:p>
        </w:tc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перспективность технологии, применяемой при использовании радиочастотного спектра;</w:t>
            </w:r>
          </w:p>
        </w:tc>
      </w:tr>
      <w:tr w:rsidR="00266795" w:rsidRPr="00266795" w:rsidTr="00266795">
        <w:trPr>
          <w:trHeight w:val="771"/>
        </w:trPr>
        <w:tc>
          <w:tcPr>
            <w:tcW w:w="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40">
                <v:shape id="_x0000_i1085" type="#_x0000_t75" style="width:36pt;height:17pt" o:ole="">
                  <v:imagedata r:id="rId104" o:title=""/>
                </v:shape>
                <o:OLEObject Type="Embed" ProgID="Equation.3" ShapeID="_x0000_i1085" DrawAspect="Content" ObjectID="_1700639222" r:id="rId105"/>
              </w:object>
            </w:r>
          </w:p>
        </w:tc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НШПИ радиосигнала для передачи информации с заданным качеством в используемом радиочастотном канале;</w:t>
            </w:r>
          </w:p>
        </w:tc>
      </w:tr>
      <w:tr w:rsidR="00266795" w:rsidRPr="00266795" w:rsidTr="00266795">
        <w:trPr>
          <w:trHeight w:val="74"/>
        </w:trPr>
        <w:tc>
          <w:tcPr>
            <w:tcW w:w="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380">
                <v:shape id="_x0000_i1086" type="#_x0000_t75" style="width:29pt;height:19pt" o:ole="">
                  <v:imagedata r:id="rId106" o:title=""/>
                </v:shape>
                <o:OLEObject Type="Embed" ProgID="Equation.3" ShapeID="_x0000_i1086" DrawAspect="Content" ObjectID="_1700639223" r:id="rId107"/>
              </w:object>
            </w:r>
          </w:p>
        </w:tc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степень социальной направленности внедрения технологии.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к Методике расчета размеров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разовой платы и ежегодной платы</w:t>
      </w:r>
    </w:p>
    <w:p w:rsid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за право доступа к радиочастотному спектру и </w:t>
      </w:r>
    </w:p>
    <w:p w:rsid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использование радиочастотного спектра в 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Приднестровской Молдавской Республике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Значения ставок и коэффициентов для расчета разовой платы </w:t>
      </w:r>
      <w:r w:rsidRPr="00266795">
        <w:rPr>
          <w:rFonts w:ascii="Times New Roman" w:hAnsi="Times New Roman" w:cs="Times New Roman"/>
          <w:sz w:val="24"/>
          <w:szCs w:val="24"/>
        </w:rPr>
        <w:br/>
        <w:t>и ежегодной платы за использование радиочастотного спектра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Таблица № 1 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Размеры ставок для расчета разовой платы и ежегодной платы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8"/>
        <w:gridCol w:w="2835"/>
        <w:gridCol w:w="2551"/>
      </w:tblGrid>
      <w:tr w:rsidR="00266795" w:rsidRPr="00266795" w:rsidTr="00266795">
        <w:trPr>
          <w:trHeight w:val="351"/>
          <w:jc w:val="center"/>
        </w:trPr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Ставка (РУ МЗП)</w:t>
            </w:r>
          </w:p>
        </w:tc>
      </w:tr>
      <w:tr w:rsidR="00266795" w:rsidRPr="00266795" w:rsidTr="00266795">
        <w:trPr>
          <w:trHeight w:val="315"/>
          <w:jc w:val="center"/>
        </w:trPr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66795" w:rsidRPr="00266795" w:rsidTr="00266795">
        <w:trPr>
          <w:trHeight w:val="280"/>
          <w:jc w:val="center"/>
        </w:trPr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Ежегодная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Примечания к Таблице № 1: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- по каждому Разрешению для РЭС, использующих технологии, применяемые для системы MMDS, стандартов цифровых систем мобильной связи CDMA либо GSM, размер ставки для расчета ежегодной платы за 2014 год составляет 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 xml:space="preserve">=22,5 РУ МЗП, за первый-третий кварталы 2015 года составляет 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 xml:space="preserve">=18 РУ МЗП, за четвертый квартал 2015 года и  2016–2027 годов составляет 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>=9,0 РУ.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lastRenderedPageBreak/>
        <w:t>- по каждому Разрешению для РЭС, использующих технологию, применяемую для стандарта цифровых систем мобильной связи LTE, размер ставки для расчета ежегодной платы составляет </w:t>
      </w:r>
      <w:r w:rsidRPr="00266795">
        <w:rPr>
          <w:rFonts w:ascii="Times New Roman" w:hAnsi="Times New Roman" w:cs="Times New Roman"/>
          <w:b/>
          <w:position w:val="-10"/>
          <w:sz w:val="24"/>
          <w:szCs w:val="24"/>
        </w:rPr>
        <w:object w:dxaOrig="720" w:dyaOrig="340">
          <v:shape id="_x0000_i1087" type="#_x0000_t75" style="width:36pt;height:17pt" o:ole="">
            <v:imagedata r:id="rId108" o:title=""/>
          </v:shape>
          <o:OLEObject Type="Embed" ProgID="Equation.3" ShapeID="_x0000_i1087" DrawAspect="Content" ObjectID="_1700639224" r:id="rId109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РУ МЗП. 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- по каждому Разрешению для РЭС, использующих технологию, применяемую для стандарта DVB-T2 при реализации Программы развития наземного цифрового телевизионного вещания на территории Приднестровской Молдавской Республики, утвержденной Постановлением Правительства Приднестровской Молдавской Республики от 22 мая 2015 года № 114 «Об утверждении Программы развития наземного цифрового телевизионного вещания на территории Приднестровской Молдавской Республики» (далее – Программа), размер ставки для расчета ежегодной платы за 2015-2035 годы составляет </w:t>
      </w:r>
      <w:r w:rsidRPr="00266795">
        <w:rPr>
          <w:rFonts w:ascii="Times New Roman" w:hAnsi="Times New Roman" w:cs="Times New Roman"/>
          <w:b/>
          <w:position w:val="-10"/>
          <w:sz w:val="24"/>
          <w:szCs w:val="24"/>
        </w:rPr>
        <w:object w:dxaOrig="720" w:dyaOrig="340">
          <v:shape id="_x0000_i1088" type="#_x0000_t75" style="width:36pt;height:17pt" o:ole="">
            <v:imagedata r:id="rId108" o:title=""/>
          </v:shape>
          <o:OLEObject Type="Embed" ProgID="Equation.3" ShapeID="_x0000_i1088" DrawAspect="Content" ObjectID="_1700639225" r:id="rId110"/>
        </w:object>
      </w:r>
      <w:r w:rsidRPr="00266795">
        <w:rPr>
          <w:rFonts w:ascii="Times New Roman" w:hAnsi="Times New Roman" w:cs="Times New Roman"/>
          <w:sz w:val="24"/>
          <w:szCs w:val="24"/>
        </w:rPr>
        <w:t>РУ МЗП.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Таблица № 2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Значения коэффициентов, учитывающих диапазон радиочастот</w:t>
      </w:r>
    </w:p>
    <w:p w:rsidR="00DD4739" w:rsidRPr="00266795" w:rsidRDefault="00DD4739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683"/>
        <w:gridCol w:w="2126"/>
      </w:tblGrid>
      <w:tr w:rsidR="00266795" w:rsidRPr="00266795" w:rsidTr="00266795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 № </w:t>
            </w:r>
          </w:p>
        </w:tc>
        <w:tc>
          <w:tcPr>
            <w:tcW w:w="4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Диапазон частот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266795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60" w:dyaOrig="380">
                <v:shape id="_x0000_i1089" type="#_x0000_t75" style="width:33pt;height:19pt" o:ole="">
                  <v:imagedata r:id="rId111" o:title=""/>
                </v:shape>
                <o:OLEObject Type="Embed" ProgID="Equation.3" ShapeID="_x0000_i1089" DrawAspect="Content" ObjectID="_1700639226" r:id="rId112"/>
              </w:object>
            </w:r>
          </w:p>
        </w:tc>
      </w:tr>
      <w:tr w:rsidR="00266795" w:rsidRPr="00266795" w:rsidTr="00266795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свыше 3 кГц до 25 МГц включительно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Pr="002667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</w:tr>
      <w:tr w:rsidR="00266795" w:rsidRPr="00266795" w:rsidTr="00266795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свыше 25 до 30 МГц включительно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6795" w:rsidRPr="00266795" w:rsidTr="00266795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свыше 30 до 300 МГц включительно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795" w:rsidRPr="00266795" w:rsidTr="00266795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свыше 300 до 3000 МГц включительно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795" w:rsidRPr="00266795" w:rsidTr="00266795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свыше 3 до 30 ГГц включительно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795" w:rsidRPr="00266795" w:rsidTr="00266795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свыше 30 до 300 ГГц включительно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*за исключением Разрешений для РЭС любительской службы радиосвязи.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  Таблица № 3 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Значения коэффициентов, учитывающих перспективность технологии</w:t>
      </w:r>
    </w:p>
    <w:p w:rsidR="00DD4739" w:rsidRPr="00266795" w:rsidRDefault="00DD4739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6804"/>
        <w:gridCol w:w="1423"/>
      </w:tblGrid>
      <w:tr w:rsidR="00266795" w:rsidRPr="00266795" w:rsidTr="00266795">
        <w:trPr>
          <w:trHeight w:val="345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  <w:p w:rsidR="00266795" w:rsidRPr="00266795" w:rsidRDefault="00266795" w:rsidP="00266795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радиотехнологий</w:t>
            </w:r>
            <w:proofErr w:type="spellEnd"/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266795" w:rsidRPr="00266795" w:rsidRDefault="00266795" w:rsidP="00266795">
            <w:pPr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60" w:dyaOrig="360">
                <v:shape id="_x0000_i1090" type="#_x0000_t75" style="width:38pt;height:18pt" o:ole="">
                  <v:imagedata r:id="rId113" o:title=""/>
                </v:shape>
                <o:OLEObject Type="Embed" ProgID="Equation.3" ShapeID="_x0000_i1090" DrawAspect="Content" ObjectID="_1700639227" r:id="rId114"/>
              </w:object>
            </w:r>
          </w:p>
        </w:tc>
      </w:tr>
      <w:tr w:rsidR="00266795" w:rsidRPr="00266795" w:rsidTr="00266795">
        <w:trPr>
          <w:trHeight w:val="475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радиотехнологии</w:t>
            </w:r>
            <w:proofErr w:type="spellEnd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66795" w:rsidRPr="00266795" w:rsidTr="00266795">
        <w:trPr>
          <w:trHeight w:val="978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радиотехнологии</w:t>
            </w:r>
            <w:proofErr w:type="spellEnd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, подлежащие прекращению их дальнейшего использования и/или выводе РЭС данных технологий в другие полосы частот**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66795" w:rsidRPr="00266795" w:rsidTr="00266795">
        <w:trPr>
          <w:trHeight w:val="97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Другие гражданские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радиотехнологии</w:t>
            </w:r>
            <w:proofErr w:type="spellEnd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цифровых методов обработки информации, не включенные в пункт 1 и пункт 2 данной таблицы***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795" w:rsidRPr="00266795" w:rsidTr="00266795">
        <w:trPr>
          <w:trHeight w:val="992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Другие гражданские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радиотехнологии</w:t>
            </w:r>
            <w:proofErr w:type="spellEnd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аналоговых методов обработки информации, не включенные в пункт 1 и пункт 2 данной таблицы, а также в иных случаях****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*перечень перспективных технологий, согласно Приложению № 3 к Методике, при этом: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а) в случае применения 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радиотехнологий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> стандарта LTE и его последующих модификаций коэффициент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091" type="#_x0000_t75" style="width:38pt;height:18pt" o:ole="">
            <v:imagedata r:id="rId113" o:title=""/>
          </v:shape>
          <o:OLEObject Type="Embed" ProgID="Equation.3" ShapeID="_x0000_i1091" DrawAspect="Content" ObjectID="_1700639228" r:id="rId115"/>
        </w:object>
      </w:r>
      <w:r w:rsidRPr="00266795">
        <w:rPr>
          <w:rFonts w:ascii="Times New Roman" w:hAnsi="Times New Roman" w:cs="Times New Roman"/>
          <w:sz w:val="24"/>
          <w:szCs w:val="24"/>
        </w:rPr>
        <w:t> = 0,4;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lastRenderedPageBreak/>
        <w:t xml:space="preserve">б) в случае применения 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радиотехнологий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 xml:space="preserve"> стандарта DVB-T2 для РИС, используемых для реализации Программы, коэффициент 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092" type="#_x0000_t75" style="width:38pt;height:18pt" o:ole="">
            <v:imagedata r:id="rId113" o:title=""/>
          </v:shape>
          <o:OLEObject Type="Embed" ProgID="Equation.3" ShapeID="_x0000_i1092" DrawAspect="Content" ObjectID="_1700639229" r:id="rId116"/>
        </w:object>
      </w:r>
      <w:r w:rsidRPr="00266795">
        <w:rPr>
          <w:rFonts w:ascii="Times New Roman" w:hAnsi="Times New Roman" w:cs="Times New Roman"/>
          <w:sz w:val="24"/>
          <w:szCs w:val="24"/>
        </w:rPr>
        <w:t>= 0 (до конца 2035 года);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**согласно Приложению № 2 к Методике, при этом на период реализации Программы для РЭС системы MMDS значение 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093" type="#_x0000_t75" style="width:38pt;height:18pt" o:ole="">
            <v:imagedata r:id="rId113" o:title=""/>
          </v:shape>
          <o:OLEObject Type="Embed" ProgID="Equation.3" ShapeID="_x0000_i1093" DrawAspect="Content" ObjectID="_1700639230" r:id="rId117"/>
        </w:object>
      </w:r>
      <w:r w:rsidRPr="00266795">
        <w:rPr>
          <w:rFonts w:ascii="Times New Roman" w:hAnsi="Times New Roman" w:cs="Times New Roman"/>
          <w:sz w:val="24"/>
          <w:szCs w:val="24"/>
        </w:rPr>
        <w:t>= 0,4;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***для импульсного излучения (последовательности импульсов), при котором основная несущая не модулируется непосредственно сигналом, который закодирован в квантованной форме, применяется 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094" type="#_x0000_t75" style="width:38pt;height:18pt" o:ole="">
            <v:imagedata r:id="rId113" o:title=""/>
          </v:shape>
          <o:OLEObject Type="Embed" ProgID="Equation.3" ShapeID="_x0000_i1094" DrawAspect="Content" ObjectID="_1700639231" r:id="rId118"/>
        </w:object>
      </w:r>
      <w:r w:rsidRPr="00266795">
        <w:rPr>
          <w:rFonts w:ascii="Times New Roman" w:hAnsi="Times New Roman" w:cs="Times New Roman"/>
          <w:sz w:val="24"/>
          <w:szCs w:val="24"/>
        </w:rPr>
        <w:t>= 1;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****значение коэффициента, учитывающего перспективность технологии, 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095" type="#_x0000_t75" style="width:38pt;height:18pt" o:ole="">
            <v:imagedata r:id="rId113" o:title=""/>
          </v:shape>
          <o:OLEObject Type="Embed" ProgID="Equation.3" ShapeID="_x0000_i1095" DrawAspect="Content" ObjectID="_1700639232" r:id="rId119"/>
        </w:object>
      </w:r>
      <w:r w:rsidRPr="00266795">
        <w:rPr>
          <w:rFonts w:ascii="Times New Roman" w:hAnsi="Times New Roman" w:cs="Times New Roman"/>
          <w:sz w:val="24"/>
          <w:szCs w:val="24"/>
        </w:rPr>
        <w:t>= 1,5 в случае, если: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а) в обозначении класса излучения, указанного в Разрешении, второй знак, характеризующий сигнал (сигналы), модулирующий основную несущую, равен 9 (сложная система с одним или несколькими каналами, содержащими квантованную или цифровую информацию, совместно с одним или несколькими каналами, содержащими аналоговую информацию) или Х (класс излучения, не позволяющий однозначно определить метод обработки информации);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б) для радиочастот (радиочастотных каналов) в частотно-территориальном плане Разрешения указаны несколько классов излучения с разными методами обработки информации (аналоговый и цифровой).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Таблица № 4 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Значения коэффициентов, учитывающих необходимую ширину полосы излучения радиосигнала для передачи информации с заданным качеством </w:t>
      </w:r>
      <w:r w:rsidRPr="00266795">
        <w:rPr>
          <w:rFonts w:ascii="Times New Roman" w:hAnsi="Times New Roman" w:cs="Times New Roman"/>
          <w:sz w:val="24"/>
          <w:szCs w:val="24"/>
        </w:rPr>
        <w:br/>
        <w:t>в используемом радиочастотном канале</w:t>
      </w:r>
    </w:p>
    <w:p w:rsidR="00DD4739" w:rsidRPr="00266795" w:rsidRDefault="00DD4739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736" w:type="pct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969"/>
        <w:gridCol w:w="2418"/>
      </w:tblGrid>
      <w:tr w:rsidR="00266795" w:rsidRPr="00266795" w:rsidTr="00266795">
        <w:trPr>
          <w:trHeight w:val="355"/>
        </w:trPr>
        <w:tc>
          <w:tcPr>
            <w:tcW w:w="4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НШПИ</w:t>
            </w:r>
          </w:p>
        </w:tc>
        <w:tc>
          <w:tcPr>
            <w:tcW w:w="17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266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00" w:dyaOrig="380">
                <v:shape id="_x0000_i1096" type="#_x0000_t75" style="width:45pt;height:19pt" o:ole="">
                  <v:imagedata r:id="rId120" o:title=""/>
                </v:shape>
                <o:OLEObject Type="Embed" ProgID="Equation.3" ShapeID="_x0000_i1096" DrawAspect="Content" ObjectID="_1700639233" r:id="rId121"/>
              </w:object>
            </w:r>
          </w:p>
        </w:tc>
      </w:tr>
      <w:tr w:rsidR="00266795" w:rsidRPr="00266795" w:rsidTr="00266795">
        <w:trPr>
          <w:trHeight w:val="246"/>
        </w:trPr>
        <w:tc>
          <w:tcPr>
            <w:tcW w:w="4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менее 100 кГц</w:t>
            </w:r>
          </w:p>
        </w:tc>
        <w:tc>
          <w:tcPr>
            <w:tcW w:w="17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66795" w:rsidRPr="00266795" w:rsidTr="00266795">
        <w:trPr>
          <w:trHeight w:val="237"/>
        </w:trPr>
        <w:tc>
          <w:tcPr>
            <w:tcW w:w="4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100 кГц - 1 МГц включительно</w:t>
            </w:r>
          </w:p>
        </w:tc>
        <w:tc>
          <w:tcPr>
            <w:tcW w:w="17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795" w:rsidRPr="00266795" w:rsidTr="00266795">
        <w:trPr>
          <w:trHeight w:val="240"/>
        </w:trPr>
        <w:tc>
          <w:tcPr>
            <w:tcW w:w="4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 МГц - 10 МГц включительно</w:t>
            </w:r>
          </w:p>
        </w:tc>
        <w:tc>
          <w:tcPr>
            <w:tcW w:w="17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6795" w:rsidRPr="00266795" w:rsidTr="00266795">
        <w:trPr>
          <w:trHeight w:val="245"/>
        </w:trPr>
        <w:tc>
          <w:tcPr>
            <w:tcW w:w="4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более 10 МГц</w:t>
            </w:r>
          </w:p>
        </w:tc>
        <w:tc>
          <w:tcPr>
            <w:tcW w:w="17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Примечание к Таблице № 4</w:t>
      </w:r>
      <w:proofErr w:type="gramStart"/>
      <w:r w:rsidRPr="002667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95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266795">
        <w:rPr>
          <w:rFonts w:ascii="Times New Roman" w:hAnsi="Times New Roman" w:cs="Times New Roman"/>
          <w:sz w:val="24"/>
          <w:szCs w:val="24"/>
        </w:rPr>
        <w:t xml:space="preserve"> в Разрешении указано несколько НШПИ, то применяется максимальное значение.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При расчете в соответствии с пунктами 9 и 11 настоящей Методики применяется</w:t>
      </w:r>
      <w:r w:rsidRPr="00266795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097" type="#_x0000_t75" style="width:36pt;height:17pt" o:ole="">
            <v:imagedata r:id="rId104" o:title=""/>
          </v:shape>
          <o:OLEObject Type="Embed" ProgID="Equation.3" ShapeID="_x0000_i1097" DrawAspect="Content" ObjectID="_1700639234" r:id="rId122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= 1. 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Для генераторов радиошума и радиоастрономических приемных устройств (предназначенных только для приема радиоастрономических сигналов) </w:t>
      </w:r>
      <w:r w:rsidRPr="00266795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098" type="#_x0000_t75" style="width:36pt;height:17pt" o:ole="">
            <v:imagedata r:id="rId104" o:title=""/>
          </v:shape>
          <o:OLEObject Type="Embed" ProgID="Equation.3" ShapeID="_x0000_i1098" DrawAspect="Content" ObjectID="_1700639235" r:id="rId123"/>
        </w:object>
      </w:r>
      <w:r w:rsidRPr="00266795">
        <w:rPr>
          <w:rFonts w:ascii="Times New Roman" w:hAnsi="Times New Roman" w:cs="Times New Roman"/>
          <w:sz w:val="24"/>
          <w:szCs w:val="24"/>
        </w:rPr>
        <w:t>= 0.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Таблица № 5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Значения коэффициента, учитывающего степень социальной направленности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внедрения технологии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7468"/>
        <w:gridCol w:w="1174"/>
      </w:tblGrid>
      <w:tr w:rsidR="00266795" w:rsidRPr="00266795" w:rsidTr="00266795">
        <w:trPr>
          <w:trHeight w:val="567"/>
        </w:trPr>
        <w:tc>
          <w:tcPr>
            <w:tcW w:w="34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20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Степень социальной направленности</w:t>
            </w:r>
          </w:p>
          <w:p w:rsidR="00266795" w:rsidRPr="00266795" w:rsidRDefault="00266795" w:rsidP="00266795">
            <w:pPr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внедрения технологии</w:t>
            </w:r>
          </w:p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2667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380">
                <v:shape id="_x0000_i1099" type="#_x0000_t75" style="width:25pt;height:16pt" o:ole="">
                  <v:imagedata r:id="rId106" o:title=""/>
                </v:shape>
                <o:OLEObject Type="Embed" ProgID="Equation.3" ShapeID="_x0000_i1099" DrawAspect="Content" ObjectID="_1700639236" r:id="rId124"/>
              </w:object>
            </w:r>
          </w:p>
        </w:tc>
      </w:tr>
      <w:tr w:rsidR="00266795" w:rsidRPr="00266795" w:rsidTr="00266795">
        <w:trPr>
          <w:trHeight w:val="1012"/>
        </w:trPr>
        <w:tc>
          <w:tcPr>
            <w:tcW w:w="3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0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Технология, используемая РЭС для обеспечения безопасности жизнедеятельности населения Приднестровской Молдавской Республики, в том числе при чрезвычайных ситуациях *</w:t>
            </w:r>
          </w:p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66795" w:rsidRPr="00266795" w:rsidTr="00266795">
        <w:trPr>
          <w:trHeight w:val="1835"/>
        </w:trPr>
        <w:tc>
          <w:tcPr>
            <w:tcW w:w="3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20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Технология, используемая РЭС гражданского назначения в сетях железнодорожной радиосвязи (в том числе на подъездных путях) в полосах радиочастот 2124-2136 кГц (номинал радиочастоты 2130 кГц); 2144-2156 кГц (номинал радиочастоты 2150 кГц); 151,7125-154,0125МГц; 154,9875-156,0125 МГц; 307,0-307,4625 МГц; 343,0-343,4625 МГц</w:t>
            </w:r>
          </w:p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6795" w:rsidRPr="00266795" w:rsidTr="00266795">
        <w:trPr>
          <w:trHeight w:val="697"/>
        </w:trPr>
        <w:tc>
          <w:tcPr>
            <w:tcW w:w="3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0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применяемая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радиоудлинителями</w:t>
            </w:r>
            <w:proofErr w:type="spellEnd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телефонных каналов, РЭС системы радиотелефонной связи «Алтай» и «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Actionet</w:t>
            </w:r>
            <w:proofErr w:type="spellEnd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66795" w:rsidRPr="00266795" w:rsidTr="00266795">
        <w:trPr>
          <w:trHeight w:val="706"/>
        </w:trPr>
        <w:tc>
          <w:tcPr>
            <w:tcW w:w="3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0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Технологии, применяемые для стандартов цифровых систем мобильной связи CDMA и GSM</w:t>
            </w:r>
          </w:p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66795" w:rsidRPr="00266795" w:rsidTr="00266795">
        <w:trPr>
          <w:trHeight w:val="406"/>
        </w:trPr>
        <w:tc>
          <w:tcPr>
            <w:tcW w:w="3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0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Технология беспроводного радиодоступа стандарта серии IEEE 802.11</w:t>
            </w:r>
          </w:p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6795" w:rsidRPr="00266795" w:rsidTr="00266795">
        <w:trPr>
          <w:trHeight w:val="708"/>
        </w:trPr>
        <w:tc>
          <w:tcPr>
            <w:tcW w:w="3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0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Земные станций спутниковой связи, узловые (центральные) станции VSAT</w:t>
            </w:r>
          </w:p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6795" w:rsidRPr="00266795" w:rsidTr="00266795">
        <w:trPr>
          <w:trHeight w:val="1540"/>
        </w:trPr>
        <w:tc>
          <w:tcPr>
            <w:tcW w:w="3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0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РЭС, используемые для нужд органов государственной власти, обороноспособности государства, государственной безопасности и охраны государственных границ, обеспечения правопорядка, таможенного дела и государственной охраны, и которые не используются для возмездного оказания услуг электросвязи</w:t>
            </w:r>
          </w:p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6795" w:rsidRPr="00266795" w:rsidTr="00266795">
        <w:trPr>
          <w:trHeight w:val="701"/>
        </w:trPr>
        <w:tc>
          <w:tcPr>
            <w:tcW w:w="3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0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цифровых систем беспроводного доступа технологии DEСT</w:t>
            </w:r>
          </w:p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66795" w:rsidRPr="00266795" w:rsidTr="00266795">
        <w:trPr>
          <w:trHeight w:val="274"/>
        </w:trPr>
        <w:tc>
          <w:tcPr>
            <w:tcW w:w="3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0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РИС, используемые для выполнения государственного заказа на теле- и радиотрансляцию в аналоговом формате</w:t>
            </w:r>
          </w:p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6795" w:rsidRPr="00266795" w:rsidTr="00266795">
        <w:trPr>
          <w:trHeight w:val="415"/>
        </w:trPr>
        <w:tc>
          <w:tcPr>
            <w:tcW w:w="3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0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Радиолокационные станции</w:t>
            </w:r>
          </w:p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66795" w:rsidRPr="00266795" w:rsidTr="00266795">
        <w:trPr>
          <w:trHeight w:val="420"/>
        </w:trPr>
        <w:tc>
          <w:tcPr>
            <w:tcW w:w="3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0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РИС, используемые для аналоговой телевизионной ретрансляции</w:t>
            </w:r>
          </w:p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66795" w:rsidRPr="00266795" w:rsidTr="00266795">
        <w:trPr>
          <w:trHeight w:val="412"/>
        </w:trPr>
        <w:tc>
          <w:tcPr>
            <w:tcW w:w="3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РИС, используемые в системе MMDS</w:t>
            </w:r>
          </w:p>
        </w:tc>
        <w:tc>
          <w:tcPr>
            <w:tcW w:w="632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66795" w:rsidRPr="00266795" w:rsidTr="00266795">
        <w:trPr>
          <w:trHeight w:val="404"/>
        </w:trPr>
        <w:tc>
          <w:tcPr>
            <w:tcW w:w="3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РИС, используемые для реализации Программы</w:t>
            </w:r>
          </w:p>
        </w:tc>
        <w:tc>
          <w:tcPr>
            <w:tcW w:w="632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*К технологиям, используемым для обеспечения безопасности жизнедеятельности граждан Приднестровской Молдавской Республики, в том числе при чрезвычайных ситуациях, относятся следующие радиослужбы: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а) радиолокационная;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б) радионавигационная;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в) метеорологическая, включая метеорологические радиолокаторы;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г) службы 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радиоопределения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>;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д) РЭС, использующие частоты вызова и бедствия, определенные Регламентом радиосвязи Международного союза электросвязи (далее – МСЭ).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В случае если РЭС использует, кроме частот вызова и бедствия, определенных Регламентом радиосвязи МСЭ, и другие номиналы радиочастот, значение коэффициента, учитывающего степень социальной направленности внедрения технологии </w:t>
      </w: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580" w:dyaOrig="380">
          <v:shape id="_x0000_i1100" type="#_x0000_t75" style="width:29pt;height:19pt" o:ole="">
            <v:imagedata r:id="rId106" o:title=""/>
          </v:shape>
          <o:OLEObject Type="Embed" ProgID="Equation.3" ShapeID="_x0000_i1100" DrawAspect="Content" ObjectID="_1700639237" r:id="rId125"/>
        </w:object>
      </w:r>
      <w:r w:rsidRPr="00266795">
        <w:rPr>
          <w:rFonts w:ascii="Times New Roman" w:hAnsi="Times New Roman" w:cs="Times New Roman"/>
          <w:sz w:val="24"/>
          <w:szCs w:val="24"/>
        </w:rPr>
        <w:t>= 0,3, применяется только для номиналов радиочастот вызова и бедствия.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В случае если РЭС привлекается исполнительным органом государственной власти в области электросвязи для ретрансляции программ госзаказа в стандарте наземного цифрового телевизионного вещания DVB-T/T2 и в составе телевизионных программ, ретранслируемых данным РЭС, присутствуют иные телевизионные программы, </w:t>
      </w:r>
      <w:r w:rsidRPr="00266795">
        <w:rPr>
          <w:rFonts w:ascii="Times New Roman" w:hAnsi="Times New Roman" w:cs="Times New Roman"/>
          <w:sz w:val="24"/>
          <w:szCs w:val="24"/>
        </w:rPr>
        <w:lastRenderedPageBreak/>
        <w:t>распространяемые без применения систем дополнительного кодирования и условного доступа (в открытом виде), применяется</w:t>
      </w: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940" w:dyaOrig="380">
          <v:shape id="_x0000_i1101" type="#_x0000_t75" style="width:47pt;height:19pt" o:ole="">
            <v:imagedata r:id="rId126" o:title=""/>
          </v:shape>
          <o:OLEObject Type="Embed" ProgID="Equation.3" ShapeID="_x0000_i1101" DrawAspect="Content" ObjectID="_1700639238" r:id="rId127"/>
        </w:object>
      </w:r>
      <w:r w:rsidRPr="00266795">
        <w:rPr>
          <w:rFonts w:ascii="Times New Roman" w:hAnsi="Times New Roman" w:cs="Times New Roman"/>
          <w:sz w:val="24"/>
          <w:szCs w:val="24"/>
        </w:rPr>
        <w:t>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Примечание к Таблице № 5: </w:t>
      </w:r>
      <w:proofErr w:type="gramStart"/>
      <w:r w:rsidRPr="002667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6795">
        <w:rPr>
          <w:rFonts w:ascii="Times New Roman" w:hAnsi="Times New Roman" w:cs="Times New Roman"/>
          <w:sz w:val="24"/>
          <w:szCs w:val="24"/>
        </w:rPr>
        <w:t xml:space="preserve"> остальных случаях </w:t>
      </w: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580" w:dyaOrig="380">
          <v:shape id="_x0000_i1102" type="#_x0000_t75" style="width:29pt;height:19pt" o:ole="">
            <v:imagedata r:id="rId106" o:title=""/>
          </v:shape>
          <o:OLEObject Type="Embed" ProgID="Equation.3" ShapeID="_x0000_i1102" DrawAspect="Content" ObjectID="_1700639239" r:id="rId128"/>
        </w:object>
      </w:r>
      <w:r w:rsidRPr="00266795">
        <w:rPr>
          <w:rFonts w:ascii="Times New Roman" w:hAnsi="Times New Roman" w:cs="Times New Roman"/>
          <w:sz w:val="24"/>
          <w:szCs w:val="24"/>
        </w:rPr>
        <w:t>= 1. Если применяемая технология относится к нескольким группам данной таблицы, то значение коэффициента, учитывающего степень социальной направленности внедрения технологии, выбирается по минимальной величине.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Таблица № 6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Значение коэффициента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103" type="#_x0000_t75" style="width:30pt;height:18pt" o:ole="">
            <v:imagedata r:id="rId129" o:title=""/>
          </v:shape>
          <o:OLEObject Type="Embed" ProgID="Equation.3" ShapeID="_x0000_i1103" DrawAspect="Content" ObjectID="_1700639240" r:id="rId130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с учетом критерия зоны обслуживания</w:t>
      </w:r>
    </w:p>
    <w:p w:rsidR="00DD4739" w:rsidRPr="00266795" w:rsidRDefault="00DD4739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856"/>
        <w:gridCol w:w="856"/>
        <w:gridCol w:w="856"/>
        <w:gridCol w:w="856"/>
        <w:gridCol w:w="856"/>
        <w:gridCol w:w="1136"/>
      </w:tblGrid>
      <w:tr w:rsidR="00266795" w:rsidRPr="00266795" w:rsidTr="00266795">
        <w:trPr>
          <w:trHeight w:val="105"/>
          <w:jc w:val="center"/>
        </w:trPr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6795" w:rsidRPr="00266795" w:rsidTr="00266795">
        <w:trPr>
          <w:trHeight w:val="371"/>
          <w:jc w:val="center"/>
        </w:trPr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зоны обслуживания </w:t>
            </w:r>
            <w:r w:rsidRPr="002667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104" type="#_x0000_t75" style="width:15pt;height:15pt" o:ole="">
                  <v:imagedata r:id="rId131" o:title=""/>
                </v:shape>
                <o:OLEObject Type="Embed" ProgID="Equation.3" ShapeID="_x0000_i1104" DrawAspect="Content" ObjectID="_1700639241" r:id="rId132"/>
              </w:objec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</w:p>
        </w:tc>
      </w:tr>
      <w:tr w:rsidR="00266795" w:rsidRPr="00266795" w:rsidTr="00266795">
        <w:trPr>
          <w:trHeight w:val="434"/>
          <w:jc w:val="center"/>
        </w:trPr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266795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Pr="00266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00" w:dyaOrig="360">
                <v:shape id="_x0000_i1105" type="#_x0000_t75" style="width:30pt;height:18pt" o:ole="">
                  <v:imagedata r:id="rId129" o:title=""/>
                </v:shape>
                <o:OLEObject Type="Embed" ProgID="Equation.3" ShapeID="_x0000_i1105" DrawAspect="Content" ObjectID="_1700639242" r:id="rId133"/>
              </w:objec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Примечание к Таблице № 6: для разграничения пределов значений критерия зоны обслуживания </w:t>
      </w:r>
      <w:r w:rsidRPr="00266795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106" type="#_x0000_t75" style="width:15pt;height:15pt" o:ole="">
            <v:imagedata r:id="rId131" o:title=""/>
          </v:shape>
          <o:OLEObject Type="Embed" ProgID="Equation.3" ShapeID="_x0000_i1106" DrawAspect="Content" ObjectID="_1700639243" r:id="rId134"/>
        </w:object>
      </w:r>
      <w:r w:rsidRPr="00266795">
        <w:rPr>
          <w:rFonts w:ascii="Times New Roman" w:hAnsi="Times New Roman" w:cs="Times New Roman"/>
          <w:sz w:val="24"/>
          <w:szCs w:val="24"/>
        </w:rPr>
        <w:t>принята условная норма, по которой значение, соответствующее нижнему пределу, относится к предыдущему пределу значений критерия зоны обслуживания (кроме предела 0-3), а значение, соответствующее верхнему пределу, относится к данному пределу значений критерия зоны обслуживания.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Критерий зоны обслуживания </w:t>
      </w:r>
      <w:r w:rsidRPr="00266795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107" type="#_x0000_t75" style="width:15pt;height:15pt" o:ole="">
            <v:imagedata r:id="rId131" o:title=""/>
          </v:shape>
          <o:OLEObject Type="Embed" ProgID="Equation.3" ShapeID="_x0000_i1107" DrawAspect="Content" ObjectID="_1700639244" r:id="rId135"/>
        </w:object>
      </w:r>
      <w:r w:rsidRPr="00266795"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32"/>
          <w:sz w:val="24"/>
          <w:szCs w:val="24"/>
        </w:rPr>
        <w:object w:dxaOrig="1900" w:dyaOrig="760">
          <v:shape id="_x0000_i1108" type="#_x0000_t75" style="width:109pt;height:45pt" o:ole="">
            <v:imagedata r:id="rId136" o:title=""/>
          </v:shape>
          <o:OLEObject Type="Embed" ProgID="Equation.3" ShapeID="_x0000_i1108" DrawAspect="Content" ObjectID="_1700639245" r:id="rId137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где:</w:t>
      </w:r>
    </w:p>
    <w:tbl>
      <w:tblPr>
        <w:tblW w:w="8478" w:type="dxa"/>
        <w:tblInd w:w="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1045"/>
        <w:gridCol w:w="5807"/>
      </w:tblGrid>
      <w:tr w:rsidR="00266795" w:rsidRPr="00266795" w:rsidTr="00266795">
        <w:trPr>
          <w:trHeight w:val="425"/>
        </w:trPr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39" w:dyaOrig="360">
                <v:shape id="_x0000_i1109" type="#_x0000_t75" style="width:32pt;height:18pt" o:ole="">
                  <v:imagedata r:id="rId138" o:title=""/>
                </v:shape>
                <o:OLEObject Type="Embed" ProgID="Equation.3" ShapeID="_x0000_i1109" DrawAspect="Content" ObjectID="_1700639246" r:id="rId139"/>
              </w:object>
            </w:r>
          </w:p>
        </w:tc>
        <w:tc>
          <w:tcPr>
            <w:tcW w:w="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суммарная эффективная изотропно-излучаемая мощность (далее – ЭИМ), Вт;</w:t>
            </w:r>
          </w:p>
        </w:tc>
      </w:tr>
      <w:tr w:rsidR="00266795" w:rsidRPr="00266795" w:rsidTr="00266795">
        <w:trPr>
          <w:trHeight w:val="273"/>
        </w:trPr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99" w:dyaOrig="340">
                <v:shape id="_x0000_i1110" type="#_x0000_t75" style="width:25pt;height:16pt" o:ole="">
                  <v:imagedata r:id="rId140" o:title=""/>
                </v:shape>
                <o:OLEObject Type="Embed" ProgID="Equation.3" ShapeID="_x0000_i1110" DrawAspect="Content" ObjectID="_1700639247" r:id="rId141"/>
              </w:object>
            </w:r>
          </w:p>
        </w:tc>
        <w:tc>
          <w:tcPr>
            <w:tcW w:w="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высота подвеса передающей антенны, м;</w:t>
            </w:r>
          </w:p>
        </w:tc>
      </w:tr>
      <w:tr w:rsidR="00266795" w:rsidRPr="00266795" w:rsidTr="00266795">
        <w:trPr>
          <w:trHeight w:val="508"/>
        </w:trPr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99" w:dyaOrig="360">
                <v:shape id="_x0000_i1111" type="#_x0000_t75" style="width:25pt;height:17pt" o:ole="">
                  <v:imagedata r:id="rId142" o:title=""/>
                </v:shape>
                <o:OLEObject Type="Embed" ProgID="Equation.3" ShapeID="_x0000_i1111" DrawAspect="Content" ObjectID="_1700639248" r:id="rId143"/>
              </w:object>
            </w:r>
          </w:p>
        </w:tc>
        <w:tc>
          <w:tcPr>
            <w:tcW w:w="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радиочастота (центральная частота полосы радиочастот) излучения, МГц.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В случае если в одном месте расположения (под одним местом расположения следует понимать географическую территорию, каждое располагающееся РИС, на которой отстоит от каждого из всех остальных РИС на этой территории не более чем на </w:t>
      </w:r>
      <w:smartTag w:uri="urn:schemas-microsoft-com:office:smarttags" w:element="metricconverter">
        <w:smartTagPr>
          <w:attr w:name="ProductID" w:val="100 метров"/>
        </w:smartTagPr>
        <w:r w:rsidRPr="00266795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266795">
        <w:rPr>
          <w:rFonts w:ascii="Times New Roman" w:hAnsi="Times New Roman" w:cs="Times New Roman"/>
          <w:sz w:val="24"/>
          <w:szCs w:val="24"/>
        </w:rPr>
        <w:t xml:space="preserve">) устанавливается одно или несколько РИС, которые используют повторяющиеся номиналы радиочастот (радиочастотные каналы), то суммарная ЭИМ 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112" type="#_x0000_t75" style="width:32pt;height:17pt" o:ole="">
            <v:imagedata r:id="rId144" o:title=""/>
          </v:shape>
          <o:OLEObject Type="Embed" ProgID="Equation.3" ShapeID="_x0000_i1112" DrawAspect="Content" ObjectID="_1700639249" r:id="rId145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в таких случаях представляет собой сумму ЭИМ отдельных РИС (по принципу суперпозиции электромагнитных полей), в ином случае </w:t>
      </w: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1080" w:dyaOrig="360">
          <v:shape id="_x0000_i1113" type="#_x0000_t75" style="width:55pt;height:17pt" o:ole="">
            <v:imagedata r:id="rId146" o:title=""/>
          </v:shape>
          <o:OLEObject Type="Embed" ProgID="Equation.3" ShapeID="_x0000_i1113" DrawAspect="Content" ObjectID="_1700639250" r:id="rId147"/>
        </w:object>
      </w:r>
      <w:r w:rsidRPr="00266795">
        <w:rPr>
          <w:rFonts w:ascii="Times New Roman" w:hAnsi="Times New Roman" w:cs="Times New Roman"/>
          <w:sz w:val="24"/>
          <w:szCs w:val="24"/>
        </w:rPr>
        <w:t>.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12"/>
          <w:sz w:val="24"/>
          <w:szCs w:val="24"/>
        </w:rPr>
        <w:object w:dxaOrig="2400" w:dyaOrig="360">
          <v:shape id="_x0000_i1114" type="#_x0000_t75" style="width:139pt;height:21pt" o:ole="">
            <v:imagedata r:id="rId148" o:title=""/>
          </v:shape>
          <o:OLEObject Type="Embed" ProgID="Equation.3" ShapeID="_x0000_i1114" DrawAspect="Content" ObjectID="_1700639251" r:id="rId149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где:</w:t>
      </w:r>
    </w:p>
    <w:tbl>
      <w:tblPr>
        <w:tblW w:w="8939" w:type="dxa"/>
        <w:tblInd w:w="5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045"/>
        <w:gridCol w:w="6628"/>
      </w:tblGrid>
      <w:tr w:rsidR="00266795" w:rsidRPr="00266795" w:rsidTr="00266795">
        <w:trPr>
          <w:trHeight w:val="281"/>
        </w:trPr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9" w:dyaOrig="360">
                <v:shape id="_x0000_i1115" type="#_x0000_t75" style="width:14pt;height:17pt" o:ole="">
                  <v:imagedata r:id="rId150" o:title=""/>
                </v:shape>
                <o:OLEObject Type="Embed" ProgID="Equation.3" ShapeID="_x0000_i1115" DrawAspect="Content" ObjectID="_1700639252" r:id="rId151"/>
              </w:objec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ЭИМ отдельного РИС, Вт;</w:t>
            </w:r>
          </w:p>
        </w:tc>
      </w:tr>
      <w:tr w:rsidR="00266795" w:rsidRPr="00266795" w:rsidTr="00266795">
        <w:trPr>
          <w:trHeight w:val="815"/>
        </w:trPr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116" type="#_x0000_t75" style="width:9pt;height:11pt" o:ole="">
                  <v:imagedata r:id="rId152" o:title=""/>
                </v:shape>
                <o:OLEObject Type="Embed" ProgID="Equation.3" ShapeID="_x0000_i1116" DrawAspect="Content" ObjectID="_1700639253" r:id="rId153"/>
              </w:objec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количество РИС с повторяющимися номиналами радиочастот (радиочастотными каналами), установленных в одном месте расположения (географические координаты).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 ЭИМ РИС рассчитывается по формуле: 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30"/>
          <w:sz w:val="24"/>
          <w:szCs w:val="24"/>
        </w:rPr>
        <w:object w:dxaOrig="1600" w:dyaOrig="720">
          <v:shape id="_x0000_i1117" type="#_x0000_t75" style="width:89pt;height:40pt" o:ole="">
            <v:imagedata r:id="rId154" o:title=""/>
          </v:shape>
          <o:OLEObject Type="Embed" ProgID="Equation.3" ShapeID="_x0000_i1117" DrawAspect="Content" ObjectID="_1700639254" r:id="rId155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 Вт, 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где:</w:t>
      </w:r>
    </w:p>
    <w:tbl>
      <w:tblPr>
        <w:tblW w:w="7605" w:type="dxa"/>
        <w:tblInd w:w="5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045"/>
        <w:gridCol w:w="5035"/>
      </w:tblGrid>
      <w:tr w:rsidR="00266795" w:rsidRPr="00266795" w:rsidTr="00266795">
        <w:trPr>
          <w:trHeight w:val="254"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2667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99" w:dyaOrig="380">
                <v:shape id="_x0000_i1118" type="#_x0000_t75" style="width:25pt;height:19pt" o:ole="">
                  <v:imagedata r:id="rId156" o:title=""/>
                </v:shape>
                <o:OLEObject Type="Embed" ProgID="Equation.3" ShapeID="_x0000_i1118" DrawAspect="Content" ObjectID="_1700639255" r:id="rId157"/>
              </w:object>
            </w:r>
          </w:p>
        </w:tc>
        <w:tc>
          <w:tcPr>
            <w:tcW w:w="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мощность на выходе РИС, Вт;</w:t>
            </w:r>
          </w:p>
        </w:tc>
      </w:tr>
      <w:tr w:rsidR="00266795" w:rsidRPr="00266795" w:rsidTr="00266795">
        <w:trPr>
          <w:trHeight w:val="293"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40">
                <v:shape id="_x0000_i1119" type="#_x0000_t75" style="width:27pt;height:16pt" o:ole="">
                  <v:imagedata r:id="rId158" o:title=""/>
                </v:shape>
                <o:OLEObject Type="Embed" ProgID="Equation.3" ShapeID="_x0000_i1119" DrawAspect="Content" ObjectID="_1700639256" r:id="rId159"/>
              </w:object>
            </w:r>
          </w:p>
        </w:tc>
        <w:tc>
          <w:tcPr>
            <w:tcW w:w="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коэффициент усиления передающей антенны;</w:t>
            </w:r>
          </w:p>
        </w:tc>
      </w:tr>
      <w:tr w:rsidR="00266795" w:rsidRPr="00266795" w:rsidTr="00266795">
        <w:trPr>
          <w:trHeight w:val="293"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7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20" w:dyaOrig="340">
                <v:shape id="_x0000_i1120" type="#_x0000_t75" style="width:26pt;height:16pt" o:ole="">
                  <v:imagedata r:id="rId160" o:title=""/>
                </v:shape>
                <o:OLEObject Type="Embed" ProgID="Equation.3" ShapeID="_x0000_i1120" DrawAspect="Content" ObjectID="_1700639257" r:id="rId161"/>
              </w:object>
            </w:r>
          </w:p>
        </w:tc>
        <w:tc>
          <w:tcPr>
            <w:tcW w:w="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266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коэффициент затухания в коаксиальном кабеле.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 </w:t>
      </w:r>
      <w:r w:rsidRPr="00266795">
        <w:rPr>
          <w:rFonts w:ascii="Times New Roman" w:hAnsi="Times New Roman" w:cs="Times New Roman"/>
          <w:sz w:val="24"/>
          <w:szCs w:val="24"/>
        </w:rPr>
        <w:tab/>
        <w:t>В случае если мощность на выходе РИС, коэффициент усиления передающей антенны и коэффициент затухания в кабеле указаны в других единицах измерения, для пересчета должны использоваться следующие формулы: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2100" w:dyaOrig="420">
          <v:shape id="_x0000_i1121" type="#_x0000_t75" style="width:132pt;height:26pt" o:ole="">
            <v:imagedata r:id="rId162" o:title=""/>
          </v:shape>
          <o:OLEObject Type="Embed" ProgID="Equation.3" ShapeID="_x0000_i1121" DrawAspect="Content" ObjectID="_1700639258" r:id="rId163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, Вт                                        </w:t>
      </w:r>
      <w:proofErr w:type="gramStart"/>
      <w:r w:rsidRPr="0026679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66795">
        <w:rPr>
          <w:rFonts w:ascii="Times New Roman" w:hAnsi="Times New Roman" w:cs="Times New Roman"/>
          <w:sz w:val="24"/>
          <w:szCs w:val="24"/>
        </w:rPr>
        <w:t>1)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540" w:dyaOrig="380">
          <v:shape id="_x0000_i1122" type="#_x0000_t75" style="width:27pt;height:19pt" o:ole="">
            <v:imagedata r:id="rId164" o:title=""/>
          </v:shape>
          <o:OLEObject Type="Embed" ProgID="Equation.3" ShapeID="_x0000_i1122" DrawAspect="Content" ObjectID="_1700639259" r:id="rId165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– мощность на выходе передатчика, 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дБкВт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>;</w:t>
      </w:r>
    </w:p>
    <w:p w:rsidR="00266795" w:rsidRPr="00266795" w:rsidRDefault="00266795" w:rsidP="00266795">
      <w:pPr>
        <w:tabs>
          <w:tab w:val="left" w:pos="34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1520" w:dyaOrig="420">
          <v:shape id="_x0000_i1123" type="#_x0000_t75" style="width:102pt;height:28pt" o:ole="">
            <v:imagedata r:id="rId166" o:title=""/>
          </v:shape>
          <o:OLEObject Type="Embed" ProgID="Equation.3" ShapeID="_x0000_i1123" DrawAspect="Content" ObjectID="_1700639260" r:id="rId167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, Вт                                                  </w:t>
      </w:r>
      <w:proofErr w:type="gramStart"/>
      <w:r w:rsidRPr="0026679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66795">
        <w:rPr>
          <w:rFonts w:ascii="Times New Roman" w:hAnsi="Times New Roman" w:cs="Times New Roman"/>
          <w:sz w:val="24"/>
          <w:szCs w:val="24"/>
        </w:rPr>
        <w:t>2)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540" w:dyaOrig="380">
          <v:shape id="_x0000_i1124" type="#_x0000_t75" style="width:27pt;height:19pt" o:ole="">
            <v:imagedata r:id="rId168" o:title=""/>
          </v:shape>
          <o:OLEObject Type="Embed" ProgID="Equation.3" ShapeID="_x0000_i1124" DrawAspect="Content" ObjectID="_1700639261" r:id="rId169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– мощность на выходе передатчика, 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>;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2140" w:dyaOrig="420">
          <v:shape id="_x0000_i1125" type="#_x0000_t75" style="width:139pt;height:26pt" o:ole="">
            <v:imagedata r:id="rId170" o:title=""/>
          </v:shape>
          <o:OLEObject Type="Embed" ProgID="Equation.3" ShapeID="_x0000_i1125" DrawAspect="Content" ObjectID="_1700639262" r:id="rId171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, Вт                                      </w:t>
      </w:r>
      <w:proofErr w:type="gramStart"/>
      <w:r w:rsidRPr="0026679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66795">
        <w:rPr>
          <w:rFonts w:ascii="Times New Roman" w:hAnsi="Times New Roman" w:cs="Times New Roman"/>
          <w:sz w:val="24"/>
          <w:szCs w:val="24"/>
        </w:rPr>
        <w:t>3)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540" w:dyaOrig="380">
          <v:shape id="_x0000_i1126" type="#_x0000_t75" style="width:27pt;height:19pt" o:ole="">
            <v:imagedata r:id="rId172" o:title=""/>
          </v:shape>
          <o:OLEObject Type="Embed" ProgID="Equation.3" ShapeID="_x0000_i1126" DrawAspect="Content" ObjectID="_1700639263" r:id="rId173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– мощность на выходе передатчика, 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>;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127" type="#_x0000_t75" style="width:96pt;height:22pt" o:ole="">
            <v:imagedata r:id="rId174" o:title=""/>
          </v:shape>
          <o:OLEObject Type="Embed" ProgID="Equation.3" ShapeID="_x0000_i1127" DrawAspect="Content" ObjectID="_1700639264" r:id="rId175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6795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128" type="#_x0000_t75" style="width:26pt;height:16pt" o:ole="">
            <v:imagedata r:id="rId176" o:title=""/>
          </v:shape>
          <o:OLEObject Type="Embed" ProgID="Equation.3" ShapeID="_x0000_i1128" DrawAspect="Content" ObjectID="_1700639265" r:id="rId177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 – коэффициент усиления передающей антенны относительно изотропного излучателя, 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дБи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>;</w:t>
      </w:r>
    </w:p>
    <w:p w:rsidR="00266795" w:rsidRPr="00266795" w:rsidRDefault="00266795" w:rsidP="00266795">
      <w:pPr>
        <w:shd w:val="clear" w:color="auto" w:fill="FFFFFF"/>
        <w:tabs>
          <w:tab w:val="left" w:pos="340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position w:val="-10"/>
          <w:sz w:val="24"/>
          <w:szCs w:val="24"/>
        </w:rPr>
        <w:object w:dxaOrig="2020" w:dyaOrig="360">
          <v:shape id="_x0000_i1129" type="#_x0000_t75" style="width:139pt;height:25pt" o:ole="">
            <v:imagedata r:id="rId178" o:title=""/>
          </v:shape>
          <o:OLEObject Type="Embed" ProgID="Equation.3" ShapeID="_x0000_i1129" DrawAspect="Content" ObjectID="_1700639266" r:id="rId179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266795" w:rsidRPr="00266795" w:rsidRDefault="00266795" w:rsidP="00266795">
      <w:pPr>
        <w:tabs>
          <w:tab w:val="left" w:pos="2127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6795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130" type="#_x0000_t75" style="width:26pt;height:16pt" o:ole="">
            <v:imagedata r:id="rId180" o:title=""/>
          </v:shape>
          <o:OLEObject Type="Embed" ProgID="Equation.3" ShapeID="_x0000_i1130" DrawAspect="Content" ObjectID="_1700639267" r:id="rId181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– коэффициент усиления передающей антенны относительно полуволнового диполя, 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дБд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>;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00" w:dyaOrig="360">
          <v:shape id="_x0000_i1131" type="#_x0000_t75" style="width:105pt;height:26pt" o:ole="">
            <v:imagedata r:id="rId182" o:title=""/>
          </v:shape>
          <o:OLEObject Type="Embed" ProgID="Equation.3" ShapeID="_x0000_i1131" DrawAspect="Content" ObjectID="_1700639268" r:id="rId183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6795">
        <w:rPr>
          <w:rFonts w:ascii="Times New Roman" w:hAnsi="Times New Roman" w:cs="Times New Roman"/>
          <w:position w:val="-10"/>
          <w:sz w:val="24"/>
          <w:szCs w:val="24"/>
        </w:rPr>
        <w:object w:dxaOrig="480" w:dyaOrig="340">
          <v:shape id="_x0000_i1132" type="#_x0000_t75" style="width:25pt;height:16pt" o:ole="">
            <v:imagedata r:id="rId184" o:title=""/>
          </v:shape>
          <o:OLEObject Type="Embed" ProgID="Equation.3" ShapeID="_x0000_i1132" DrawAspect="Content" ObjectID="_1700639269" r:id="rId185"/>
        </w:object>
      </w:r>
      <w:r w:rsidRPr="00266795">
        <w:rPr>
          <w:rFonts w:ascii="Times New Roman" w:hAnsi="Times New Roman" w:cs="Times New Roman"/>
          <w:sz w:val="24"/>
          <w:szCs w:val="24"/>
        </w:rPr>
        <w:t>– коэффициент затухания в кабеле, дБ.</w:t>
      </w:r>
    </w:p>
    <w:p w:rsidR="00266795" w:rsidRPr="00266795" w:rsidRDefault="00266795" w:rsidP="0026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В случае если указано значение ЭИМ РИС, выраженное в дБ, то </w:t>
      </w:r>
      <w:r w:rsidRPr="00266795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33" type="#_x0000_t75" style="width:12pt;height:13pt" o:ole="">
            <v:imagedata r:id="rId186" o:title=""/>
          </v:shape>
          <o:OLEObject Type="Embed" ProgID="Equation.3" ShapeID="_x0000_i1133" DrawAspect="Content" ObjectID="_1700639270" r:id="rId187"/>
        </w:object>
      </w:r>
      <w:r w:rsidRPr="00266795">
        <w:rPr>
          <w:rFonts w:ascii="Times New Roman" w:hAnsi="Times New Roman" w:cs="Times New Roman"/>
          <w:sz w:val="24"/>
          <w:szCs w:val="24"/>
        </w:rPr>
        <w:t xml:space="preserve"> определяется по формулам 1–3, в зависимости от указанной размерности ЭИМ (значение ЭИМ подставляется вместо </w:t>
      </w:r>
      <w:r w:rsidRPr="00266795">
        <w:rPr>
          <w:rFonts w:ascii="Times New Roman" w:hAnsi="Times New Roman" w:cs="Times New Roman"/>
          <w:position w:val="-14"/>
          <w:sz w:val="24"/>
          <w:szCs w:val="24"/>
        </w:rPr>
        <w:object w:dxaOrig="540" w:dyaOrig="380">
          <v:shape id="_x0000_i1134" type="#_x0000_t75" style="width:27pt;height:19pt" o:ole="">
            <v:imagedata r:id="rId188" o:title=""/>
          </v:shape>
          <o:OLEObject Type="Embed" ProgID="Equation.3" ShapeID="_x0000_i1134" DrawAspect="Content" ObjectID="_1700639271" r:id="rId189"/>
        </w:object>
      </w:r>
      <w:r w:rsidRPr="00266795">
        <w:rPr>
          <w:rFonts w:ascii="Times New Roman" w:hAnsi="Times New Roman" w:cs="Times New Roman"/>
          <w:sz w:val="24"/>
          <w:szCs w:val="24"/>
        </w:rPr>
        <w:t>).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</w:t>
      </w: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br w:type="page"/>
      </w:r>
    </w:p>
    <w:p w:rsidR="00266795" w:rsidRPr="00266795" w:rsidRDefault="00266795" w:rsidP="00133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66795" w:rsidRPr="00266795" w:rsidRDefault="00266795" w:rsidP="00133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к Методике расчета размеров</w:t>
      </w:r>
    </w:p>
    <w:p w:rsidR="00266795" w:rsidRPr="00266795" w:rsidRDefault="00266795" w:rsidP="00133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разовой платы и ежегодной платы</w:t>
      </w:r>
    </w:p>
    <w:p w:rsidR="0013392B" w:rsidRDefault="00266795" w:rsidP="00133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за право доступа к радиочастотному спектру и </w:t>
      </w:r>
    </w:p>
    <w:p w:rsidR="0013392B" w:rsidRDefault="00266795" w:rsidP="00133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использование радиочастотного спектра в </w:t>
      </w:r>
    </w:p>
    <w:p w:rsidR="00266795" w:rsidRPr="00266795" w:rsidRDefault="00266795" w:rsidP="00133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Приднестровской Молдавской Республике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Гражданские 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радиотехнологии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 xml:space="preserve">, подлежащие прекращению к дальнейшему </w:t>
      </w:r>
    </w:p>
    <w:p w:rsidR="00266795" w:rsidRP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использованию и/или выводу РЭС данных технологий в другие полосы частот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4678"/>
      </w:tblGrid>
      <w:tr w:rsidR="00266795" w:rsidRPr="00266795" w:rsidTr="00266795">
        <w:trPr>
          <w:trHeight w:val="45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Радиотехнологии</w:t>
            </w:r>
            <w:proofErr w:type="spellEnd"/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Полосы </w:t>
            </w:r>
          </w:p>
          <w:p w:rsidR="00266795" w:rsidRPr="00266795" w:rsidRDefault="00266795" w:rsidP="0013392B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радиочастот</w:t>
            </w:r>
          </w:p>
        </w:tc>
      </w:tr>
      <w:tr w:rsidR="00266795" w:rsidRPr="00266795" w:rsidTr="00266795">
        <w:trPr>
          <w:cantSplit/>
          <w:trHeight w:val="635"/>
          <w:jc w:val="center"/>
        </w:trPr>
        <w:tc>
          <w:tcPr>
            <w:tcW w:w="92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СЛУЖБА РАДИОСВЯЗИ</w:t>
            </w:r>
          </w:p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Сухопутная подвижная служба</w:t>
            </w:r>
          </w:p>
        </w:tc>
      </w:tr>
      <w:tr w:rsidR="00266795" w:rsidRPr="00266795" w:rsidTr="00266795">
        <w:trPr>
          <w:cantSplit/>
          <w:trHeight w:val="395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аппаратура поездной радиосвязи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307,0–307,4625 МГц и 343,0–343,4625 МГц</w:t>
            </w:r>
          </w:p>
        </w:tc>
      </w:tr>
      <w:tr w:rsidR="00266795" w:rsidRPr="00266795" w:rsidTr="00266795">
        <w:trPr>
          <w:trHeight w:val="579"/>
          <w:jc w:val="center"/>
        </w:trPr>
        <w:tc>
          <w:tcPr>
            <w:tcW w:w="92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СЛУЖБА РАДИОСВЯЗИ</w:t>
            </w:r>
          </w:p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Фиксированная служба</w:t>
            </w:r>
          </w:p>
        </w:tc>
      </w:tr>
      <w:tr w:rsidR="00266795" w:rsidRPr="00266795" w:rsidTr="00266795">
        <w:trPr>
          <w:trHeight w:val="451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сети системы MMDS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2170 – 2383,5 МГц и 2500 – 2700 МГц</w:t>
            </w:r>
          </w:p>
        </w:tc>
      </w:tr>
      <w:tr w:rsidR="00266795" w:rsidRPr="00266795" w:rsidTr="00266795">
        <w:trPr>
          <w:trHeight w:val="653"/>
          <w:jc w:val="center"/>
        </w:trPr>
        <w:tc>
          <w:tcPr>
            <w:tcW w:w="92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СЛУЖБА РАДИОСВЯЗИ</w:t>
            </w:r>
          </w:p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Радиовещательная служба</w:t>
            </w:r>
          </w:p>
        </w:tc>
      </w:tr>
      <w:tr w:rsidR="00266795" w:rsidRPr="00266795" w:rsidTr="00266795">
        <w:trPr>
          <w:trHeight w:val="43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станции телевизионного вещания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84–100 МГц</w:t>
            </w:r>
          </w:p>
        </w:tc>
      </w:tr>
    </w:tbl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br w:type="page"/>
      </w:r>
    </w:p>
    <w:p w:rsidR="00266795" w:rsidRPr="00266795" w:rsidRDefault="00266795" w:rsidP="00133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66795" w:rsidRPr="00266795" w:rsidRDefault="00266795" w:rsidP="00133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к Методике расчета размеров</w:t>
      </w:r>
    </w:p>
    <w:p w:rsidR="00266795" w:rsidRPr="00266795" w:rsidRDefault="00266795" w:rsidP="00133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разовой платы и ежегодной платы</w:t>
      </w:r>
    </w:p>
    <w:p w:rsidR="0013392B" w:rsidRDefault="00266795" w:rsidP="00133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за право доступа к радиочастотному спектру и </w:t>
      </w:r>
    </w:p>
    <w:p w:rsidR="0013392B" w:rsidRDefault="00266795" w:rsidP="00133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использование радиочастотного спектра в </w:t>
      </w:r>
    </w:p>
    <w:p w:rsidR="00266795" w:rsidRPr="00266795" w:rsidRDefault="00266795" w:rsidP="00133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Приднестровской Молдавской Республике</w:t>
      </w: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 </w:t>
      </w:r>
    </w:p>
    <w:p w:rsidR="00266795" w:rsidRDefault="00266795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 xml:space="preserve">План использования полос радиочастот в рамках развития перспективных </w:t>
      </w:r>
      <w:proofErr w:type="spellStart"/>
      <w:r w:rsidRPr="00266795">
        <w:rPr>
          <w:rFonts w:ascii="Times New Roman" w:hAnsi="Times New Roman" w:cs="Times New Roman"/>
          <w:sz w:val="24"/>
          <w:szCs w:val="24"/>
        </w:rPr>
        <w:t>радиотехнологий</w:t>
      </w:r>
      <w:proofErr w:type="spellEnd"/>
      <w:r w:rsidRPr="00266795">
        <w:rPr>
          <w:rFonts w:ascii="Times New Roman" w:hAnsi="Times New Roman" w:cs="Times New Roman"/>
          <w:sz w:val="24"/>
          <w:szCs w:val="24"/>
        </w:rPr>
        <w:t xml:space="preserve"> в Приднестровской Молдавской Республике</w:t>
      </w:r>
    </w:p>
    <w:p w:rsidR="00DD4739" w:rsidRPr="00266795" w:rsidRDefault="00DD4739" w:rsidP="00266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408"/>
        <w:gridCol w:w="4388"/>
      </w:tblGrid>
      <w:tr w:rsidR="00266795" w:rsidRPr="00266795" w:rsidTr="00266795">
        <w:trPr>
          <w:trHeight w:val="727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радиотехнологии</w:t>
            </w:r>
            <w:proofErr w:type="spellEnd"/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Полоса радиочастот,</w:t>
            </w:r>
          </w:p>
          <w:p w:rsidR="00266795" w:rsidRPr="00266795" w:rsidRDefault="00266795" w:rsidP="0013392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</w:tc>
      </w:tr>
      <w:tr w:rsidR="00266795" w:rsidRPr="00266795" w:rsidTr="0026679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DVB- T2</w:t>
            </w:r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470 – 694</w:t>
            </w:r>
          </w:p>
        </w:tc>
      </w:tr>
      <w:tr w:rsidR="00266795" w:rsidRPr="00266795" w:rsidTr="0026679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LTE/LTE -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703 – 733/758 – 788</w:t>
            </w:r>
          </w:p>
        </w:tc>
      </w:tr>
      <w:tr w:rsidR="00266795" w:rsidRPr="00266795" w:rsidTr="0026679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LTE FDD/LTE -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791 – 821/832 – 862</w:t>
            </w:r>
          </w:p>
        </w:tc>
      </w:tr>
      <w:tr w:rsidR="00266795" w:rsidRPr="00266795" w:rsidTr="0026679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HSPA FDD/LTE FDD</w:t>
            </w:r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880 – 915/925 – 960</w:t>
            </w:r>
          </w:p>
        </w:tc>
      </w:tr>
      <w:tr w:rsidR="00266795" w:rsidRPr="00266795" w:rsidTr="0026679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LTE FDD/LTE -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1710 – 1785/1805 – 1880</w:t>
            </w:r>
          </w:p>
        </w:tc>
      </w:tr>
      <w:tr w:rsidR="00266795" w:rsidRPr="00266795" w:rsidTr="0026679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LTE FDD/LTE -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1920 – 1980/2110 – 2170</w:t>
            </w:r>
          </w:p>
        </w:tc>
      </w:tr>
      <w:tr w:rsidR="00266795" w:rsidRPr="00266795" w:rsidTr="0026679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LTE/LTE -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1980 – 2010/2170 – 2200</w:t>
            </w:r>
          </w:p>
        </w:tc>
      </w:tr>
      <w:tr w:rsidR="00266795" w:rsidRPr="00266795" w:rsidTr="0026679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LTETDD и/или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WiMAX</w:t>
            </w:r>
            <w:proofErr w:type="spellEnd"/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2300–2400/2570–2620</w:t>
            </w:r>
          </w:p>
        </w:tc>
      </w:tr>
      <w:tr w:rsidR="00266795" w:rsidRPr="00266795" w:rsidTr="0026679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LTEFDD и/или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WiMAX</w:t>
            </w:r>
            <w:proofErr w:type="spellEnd"/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2500–2570 /2620 –2690</w:t>
            </w:r>
          </w:p>
        </w:tc>
      </w:tr>
      <w:tr w:rsidR="00266795" w:rsidRPr="00266795" w:rsidTr="0026679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LTE TDD</w:t>
            </w:r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3400 – 3800 </w:t>
            </w:r>
          </w:p>
        </w:tc>
      </w:tr>
      <w:tr w:rsidR="00266795" w:rsidRPr="00266795" w:rsidTr="0026679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795" w:rsidRPr="00266795" w:rsidRDefault="00266795" w:rsidP="001339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VSAT-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95" w:rsidRPr="00266795" w:rsidRDefault="00266795" w:rsidP="001339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29500 –30000 (АС), 27500 – 29500 (БС)</w:t>
            </w:r>
          </w:p>
        </w:tc>
      </w:tr>
    </w:tbl>
    <w:p w:rsidR="00266795" w:rsidRPr="00266795" w:rsidRDefault="00266795" w:rsidP="0026679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66795" w:rsidRPr="00266795" w:rsidRDefault="00266795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55F" w:rsidRPr="00266795" w:rsidRDefault="004D755F" w:rsidP="00266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D755F" w:rsidRPr="0026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3E0D"/>
    <w:multiLevelType w:val="hybridMultilevel"/>
    <w:tmpl w:val="97A8A60E"/>
    <w:lvl w:ilvl="0" w:tplc="4F18A7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666D9"/>
    <w:multiLevelType w:val="hybridMultilevel"/>
    <w:tmpl w:val="A99A0CAC"/>
    <w:lvl w:ilvl="0" w:tplc="D32265C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547B16"/>
    <w:multiLevelType w:val="hybridMultilevel"/>
    <w:tmpl w:val="4A9222B4"/>
    <w:lvl w:ilvl="0" w:tplc="C5CA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94072"/>
    <w:multiLevelType w:val="hybridMultilevel"/>
    <w:tmpl w:val="CF5E0866"/>
    <w:lvl w:ilvl="0" w:tplc="ACE42586">
      <w:start w:val="1"/>
      <w:numFmt w:val="decimal"/>
      <w:lvlText w:val="%1."/>
      <w:lvlJc w:val="left"/>
      <w:pPr>
        <w:ind w:left="744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D2B35E9"/>
    <w:multiLevelType w:val="hybridMultilevel"/>
    <w:tmpl w:val="DB6AF5AC"/>
    <w:lvl w:ilvl="0" w:tplc="7B422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E3"/>
    <w:rsid w:val="000466DE"/>
    <w:rsid w:val="000D5D1C"/>
    <w:rsid w:val="0013392B"/>
    <w:rsid w:val="001965D5"/>
    <w:rsid w:val="001C65E4"/>
    <w:rsid w:val="002123E7"/>
    <w:rsid w:val="002336D3"/>
    <w:rsid w:val="00266795"/>
    <w:rsid w:val="004D3A81"/>
    <w:rsid w:val="004D755F"/>
    <w:rsid w:val="005C3013"/>
    <w:rsid w:val="005D2A71"/>
    <w:rsid w:val="006E5DF7"/>
    <w:rsid w:val="00870DFB"/>
    <w:rsid w:val="008868E3"/>
    <w:rsid w:val="00CB4E7F"/>
    <w:rsid w:val="00DD4739"/>
    <w:rsid w:val="00E0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F9541C"/>
  <w15:chartTrackingRefBased/>
  <w15:docId w15:val="{BD98CC56-C5C4-4018-B350-750306CA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68E3"/>
    <w:rPr>
      <w:i/>
      <w:iCs/>
    </w:rPr>
  </w:style>
  <w:style w:type="character" w:styleId="a5">
    <w:name w:val="Strong"/>
    <w:basedOn w:val="a0"/>
    <w:uiPriority w:val="22"/>
    <w:qFormat/>
    <w:rsid w:val="004D3A81"/>
    <w:rPr>
      <w:b/>
      <w:bCs/>
    </w:rPr>
  </w:style>
  <w:style w:type="character" w:styleId="a6">
    <w:name w:val="Hyperlink"/>
    <w:basedOn w:val="a0"/>
    <w:uiPriority w:val="99"/>
    <w:semiHidden/>
    <w:unhideWhenUsed/>
    <w:rsid w:val="004D3A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D3A81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26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</w:div>
      </w:divsChild>
    </w:div>
    <w:div w:id="448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image" Target="media/image26.wmf"/><Relationship Id="rId84" Type="http://schemas.openxmlformats.org/officeDocument/2006/relationships/oleObject" Target="embeddings/oleObject50.bin"/><Relationship Id="rId138" Type="http://schemas.openxmlformats.org/officeDocument/2006/relationships/image" Target="media/image49.wmf"/><Relationship Id="rId159" Type="http://schemas.openxmlformats.org/officeDocument/2006/relationships/oleObject" Target="embeddings/oleObject95.bin"/><Relationship Id="rId170" Type="http://schemas.openxmlformats.org/officeDocument/2006/relationships/image" Target="media/image65.wmf"/><Relationship Id="rId191" Type="http://schemas.openxmlformats.org/officeDocument/2006/relationships/theme" Target="theme/theme1.xml"/><Relationship Id="rId107" Type="http://schemas.openxmlformats.org/officeDocument/2006/relationships/oleObject" Target="embeddings/oleObject6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78.bin"/><Relationship Id="rId149" Type="http://schemas.openxmlformats.org/officeDocument/2006/relationships/oleObject" Target="embeddings/oleObject90.bin"/><Relationship Id="rId5" Type="http://schemas.openxmlformats.org/officeDocument/2006/relationships/hyperlink" Target="http://docs.cntd.ru/document/901867280" TargetMode="External"/><Relationship Id="rId95" Type="http://schemas.openxmlformats.org/officeDocument/2006/relationships/oleObject" Target="embeddings/oleObject56.bin"/><Relationship Id="rId160" Type="http://schemas.openxmlformats.org/officeDocument/2006/relationships/image" Target="media/image60.wmf"/><Relationship Id="rId181" Type="http://schemas.openxmlformats.org/officeDocument/2006/relationships/oleObject" Target="embeddings/oleObject106.bin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70.bin"/><Relationship Id="rId139" Type="http://schemas.openxmlformats.org/officeDocument/2006/relationships/oleObject" Target="embeddings/oleObject85.bin"/><Relationship Id="rId85" Type="http://schemas.openxmlformats.org/officeDocument/2006/relationships/image" Target="media/image30.wmf"/><Relationship Id="rId150" Type="http://schemas.openxmlformats.org/officeDocument/2006/relationships/image" Target="media/image55.wmf"/><Relationship Id="rId171" Type="http://schemas.openxmlformats.org/officeDocument/2006/relationships/oleObject" Target="embeddings/oleObject101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41.wmf"/><Relationship Id="rId129" Type="http://schemas.openxmlformats.org/officeDocument/2006/relationships/image" Target="media/image46.wmf"/><Relationship Id="rId54" Type="http://schemas.openxmlformats.org/officeDocument/2006/relationships/image" Target="media/image23.wmf"/><Relationship Id="rId75" Type="http://schemas.openxmlformats.org/officeDocument/2006/relationships/oleObject" Target="embeddings/oleObject42.bin"/><Relationship Id="rId96" Type="http://schemas.openxmlformats.org/officeDocument/2006/relationships/image" Target="media/image35.wmf"/><Relationship Id="rId140" Type="http://schemas.openxmlformats.org/officeDocument/2006/relationships/image" Target="media/image50.wmf"/><Relationship Id="rId161" Type="http://schemas.openxmlformats.org/officeDocument/2006/relationships/oleObject" Target="embeddings/oleObject96.bin"/><Relationship Id="rId182" Type="http://schemas.openxmlformats.org/officeDocument/2006/relationships/image" Target="media/image71.wmf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71.bin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4.bin"/><Relationship Id="rId86" Type="http://schemas.openxmlformats.org/officeDocument/2006/relationships/oleObject" Target="embeddings/oleObject51.bin"/><Relationship Id="rId130" Type="http://schemas.openxmlformats.org/officeDocument/2006/relationships/oleObject" Target="embeddings/oleObject79.bin"/><Relationship Id="rId151" Type="http://schemas.openxmlformats.org/officeDocument/2006/relationships/oleObject" Target="embeddings/oleObject91.bin"/><Relationship Id="rId172" Type="http://schemas.openxmlformats.org/officeDocument/2006/relationships/image" Target="media/image66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7.bin"/><Relationship Id="rId104" Type="http://schemas.openxmlformats.org/officeDocument/2006/relationships/image" Target="media/image39.wmf"/><Relationship Id="rId120" Type="http://schemas.openxmlformats.org/officeDocument/2006/relationships/image" Target="media/image44.wmf"/><Relationship Id="rId125" Type="http://schemas.openxmlformats.org/officeDocument/2006/relationships/oleObject" Target="embeddings/oleObject76.bin"/><Relationship Id="rId141" Type="http://schemas.openxmlformats.org/officeDocument/2006/relationships/oleObject" Target="embeddings/oleObject86.bin"/><Relationship Id="rId146" Type="http://schemas.openxmlformats.org/officeDocument/2006/relationships/image" Target="media/image53.wmf"/><Relationship Id="rId167" Type="http://schemas.openxmlformats.org/officeDocument/2006/relationships/oleObject" Target="embeddings/oleObject99.bin"/><Relationship Id="rId188" Type="http://schemas.openxmlformats.org/officeDocument/2006/relationships/image" Target="media/image7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image" Target="media/image33.wmf"/><Relationship Id="rId162" Type="http://schemas.openxmlformats.org/officeDocument/2006/relationships/image" Target="media/image61.wmf"/><Relationship Id="rId183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7.wmf"/><Relationship Id="rId87" Type="http://schemas.openxmlformats.org/officeDocument/2006/relationships/image" Target="media/image31.wmf"/><Relationship Id="rId110" Type="http://schemas.openxmlformats.org/officeDocument/2006/relationships/oleObject" Target="embeddings/oleObject64.bin"/><Relationship Id="rId115" Type="http://schemas.openxmlformats.org/officeDocument/2006/relationships/oleObject" Target="embeddings/oleObject67.bin"/><Relationship Id="rId131" Type="http://schemas.openxmlformats.org/officeDocument/2006/relationships/image" Target="media/image47.wmf"/><Relationship Id="rId136" Type="http://schemas.openxmlformats.org/officeDocument/2006/relationships/image" Target="media/image48.wmf"/><Relationship Id="rId157" Type="http://schemas.openxmlformats.org/officeDocument/2006/relationships/oleObject" Target="embeddings/oleObject94.bin"/><Relationship Id="rId178" Type="http://schemas.openxmlformats.org/officeDocument/2006/relationships/image" Target="media/image69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9.bin"/><Relationship Id="rId152" Type="http://schemas.openxmlformats.org/officeDocument/2006/relationships/image" Target="media/image56.wmf"/><Relationship Id="rId173" Type="http://schemas.openxmlformats.org/officeDocument/2006/relationships/oleObject" Target="embeddings/oleObject102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4.bin"/><Relationship Id="rId100" Type="http://schemas.openxmlformats.org/officeDocument/2006/relationships/image" Target="media/image37.wmf"/><Relationship Id="rId105" Type="http://schemas.openxmlformats.org/officeDocument/2006/relationships/oleObject" Target="embeddings/oleObject61.bin"/><Relationship Id="rId126" Type="http://schemas.openxmlformats.org/officeDocument/2006/relationships/image" Target="media/image45.wmf"/><Relationship Id="rId147" Type="http://schemas.openxmlformats.org/officeDocument/2006/relationships/oleObject" Target="embeddings/oleObject89.bin"/><Relationship Id="rId168" Type="http://schemas.openxmlformats.org/officeDocument/2006/relationships/image" Target="media/image64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5.bin"/><Relationship Id="rId98" Type="http://schemas.openxmlformats.org/officeDocument/2006/relationships/image" Target="media/image36.wmf"/><Relationship Id="rId121" Type="http://schemas.openxmlformats.org/officeDocument/2006/relationships/oleObject" Target="embeddings/oleObject72.bin"/><Relationship Id="rId142" Type="http://schemas.openxmlformats.org/officeDocument/2006/relationships/image" Target="media/image51.wmf"/><Relationship Id="rId163" Type="http://schemas.openxmlformats.org/officeDocument/2006/relationships/oleObject" Target="embeddings/oleObject97.bin"/><Relationship Id="rId184" Type="http://schemas.openxmlformats.org/officeDocument/2006/relationships/image" Target="media/image72.wmf"/><Relationship Id="rId189" Type="http://schemas.openxmlformats.org/officeDocument/2006/relationships/oleObject" Target="embeddings/oleObject110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8.bin"/><Relationship Id="rId137" Type="http://schemas.openxmlformats.org/officeDocument/2006/relationships/oleObject" Target="embeddings/oleObject84.bin"/><Relationship Id="rId158" Type="http://schemas.openxmlformats.org/officeDocument/2006/relationships/image" Target="media/image5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2.bin"/><Relationship Id="rId83" Type="http://schemas.openxmlformats.org/officeDocument/2006/relationships/image" Target="media/image29.wmf"/><Relationship Id="rId88" Type="http://schemas.openxmlformats.org/officeDocument/2006/relationships/oleObject" Target="embeddings/oleObject52.bin"/><Relationship Id="rId111" Type="http://schemas.openxmlformats.org/officeDocument/2006/relationships/image" Target="media/image42.wmf"/><Relationship Id="rId132" Type="http://schemas.openxmlformats.org/officeDocument/2006/relationships/oleObject" Target="embeddings/oleObject80.bin"/><Relationship Id="rId153" Type="http://schemas.openxmlformats.org/officeDocument/2006/relationships/oleObject" Target="embeddings/oleObject92.bin"/><Relationship Id="rId174" Type="http://schemas.openxmlformats.org/officeDocument/2006/relationships/image" Target="media/image67.wmf"/><Relationship Id="rId179" Type="http://schemas.openxmlformats.org/officeDocument/2006/relationships/oleObject" Target="embeddings/oleObject105.bin"/><Relationship Id="rId190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image" Target="media/image40.wmf"/><Relationship Id="rId127" Type="http://schemas.openxmlformats.org/officeDocument/2006/relationships/oleObject" Target="embeddings/oleObject7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5.bin"/><Relationship Id="rId94" Type="http://schemas.openxmlformats.org/officeDocument/2006/relationships/image" Target="media/image34.wmf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oleObject" Target="embeddings/oleObject73.bin"/><Relationship Id="rId143" Type="http://schemas.openxmlformats.org/officeDocument/2006/relationships/oleObject" Target="embeddings/oleObject87.bin"/><Relationship Id="rId148" Type="http://schemas.openxmlformats.org/officeDocument/2006/relationships/image" Target="media/image54.wmf"/><Relationship Id="rId164" Type="http://schemas.openxmlformats.org/officeDocument/2006/relationships/image" Target="media/image62.wmf"/><Relationship Id="rId169" Type="http://schemas.openxmlformats.org/officeDocument/2006/relationships/oleObject" Target="embeddings/oleObject100.bin"/><Relationship Id="rId185" Type="http://schemas.openxmlformats.org/officeDocument/2006/relationships/oleObject" Target="embeddings/oleObject10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70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3.bin"/><Relationship Id="rId68" Type="http://schemas.openxmlformats.org/officeDocument/2006/relationships/image" Target="media/image28.wmf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5.bin"/><Relationship Id="rId133" Type="http://schemas.openxmlformats.org/officeDocument/2006/relationships/oleObject" Target="embeddings/oleObject81.bin"/><Relationship Id="rId154" Type="http://schemas.openxmlformats.org/officeDocument/2006/relationships/image" Target="media/image57.wmf"/><Relationship Id="rId175" Type="http://schemas.openxmlformats.org/officeDocument/2006/relationships/oleObject" Target="embeddings/oleObject103.bin"/><Relationship Id="rId16" Type="http://schemas.openxmlformats.org/officeDocument/2006/relationships/image" Target="media/image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6.bin"/><Relationship Id="rId102" Type="http://schemas.openxmlformats.org/officeDocument/2006/relationships/image" Target="media/image38.wmf"/><Relationship Id="rId123" Type="http://schemas.openxmlformats.org/officeDocument/2006/relationships/oleObject" Target="embeddings/oleObject74.bin"/><Relationship Id="rId144" Type="http://schemas.openxmlformats.org/officeDocument/2006/relationships/image" Target="media/image52.wmf"/><Relationship Id="rId90" Type="http://schemas.openxmlformats.org/officeDocument/2006/relationships/image" Target="media/image32.wmf"/><Relationship Id="rId165" Type="http://schemas.openxmlformats.org/officeDocument/2006/relationships/oleObject" Target="embeddings/oleObject98.bin"/><Relationship Id="rId186" Type="http://schemas.openxmlformats.org/officeDocument/2006/relationships/image" Target="media/image73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6.bin"/><Relationship Id="rId113" Type="http://schemas.openxmlformats.org/officeDocument/2006/relationships/image" Target="media/image43.wmf"/><Relationship Id="rId134" Type="http://schemas.openxmlformats.org/officeDocument/2006/relationships/oleObject" Target="embeddings/oleObject82.bin"/><Relationship Id="rId80" Type="http://schemas.openxmlformats.org/officeDocument/2006/relationships/oleObject" Target="embeddings/oleObject47.bin"/><Relationship Id="rId155" Type="http://schemas.openxmlformats.org/officeDocument/2006/relationships/oleObject" Target="embeddings/oleObject93.bin"/><Relationship Id="rId176" Type="http://schemas.openxmlformats.org/officeDocument/2006/relationships/image" Target="media/image68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60.bin"/><Relationship Id="rId124" Type="http://schemas.openxmlformats.org/officeDocument/2006/relationships/oleObject" Target="embeddings/oleObject75.bin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54.bin"/><Relationship Id="rId145" Type="http://schemas.openxmlformats.org/officeDocument/2006/relationships/oleObject" Target="embeddings/oleObject88.bin"/><Relationship Id="rId166" Type="http://schemas.openxmlformats.org/officeDocument/2006/relationships/image" Target="media/image63.wmf"/><Relationship Id="rId18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66.bin"/><Relationship Id="rId60" Type="http://schemas.openxmlformats.org/officeDocument/2006/relationships/image" Target="media/image25.wmf"/><Relationship Id="rId81" Type="http://schemas.openxmlformats.org/officeDocument/2006/relationships/oleObject" Target="embeddings/oleObject48.bin"/><Relationship Id="rId135" Type="http://schemas.openxmlformats.org/officeDocument/2006/relationships/oleObject" Target="embeddings/oleObject83.bin"/><Relationship Id="rId156" Type="http://schemas.openxmlformats.org/officeDocument/2006/relationships/image" Target="media/image58.wmf"/><Relationship Id="rId177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5081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Клеван</dc:creator>
  <cp:keywords/>
  <dc:description/>
  <cp:lastModifiedBy>Сергей В. Клеван</cp:lastModifiedBy>
  <cp:revision>6</cp:revision>
  <dcterms:created xsi:type="dcterms:W3CDTF">2021-12-02T12:50:00Z</dcterms:created>
  <dcterms:modified xsi:type="dcterms:W3CDTF">2021-12-10T08:52:00Z</dcterms:modified>
</cp:coreProperties>
</file>