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B071" w14:textId="77777777" w:rsidR="0070580A" w:rsidRPr="00A43F5F" w:rsidRDefault="0070580A" w:rsidP="00E46668">
      <w:pPr>
        <w:jc w:val="center"/>
        <w:rPr>
          <w:rFonts w:cs="Times New Roman"/>
        </w:rPr>
      </w:pPr>
      <w:r w:rsidRPr="00A43F5F">
        <w:rPr>
          <w:rFonts w:cs="Times New Roman"/>
        </w:rPr>
        <w:t>ПРИКАЗ</w:t>
      </w:r>
    </w:p>
    <w:p w14:paraId="5D3CC70C" w14:textId="70DDBDB0" w:rsidR="0070580A" w:rsidRPr="00A43F5F" w:rsidRDefault="0070580A" w:rsidP="00E46668">
      <w:pPr>
        <w:jc w:val="center"/>
        <w:rPr>
          <w:rFonts w:cs="Times New Roman"/>
        </w:rPr>
      </w:pPr>
      <w:r w:rsidRPr="00A43F5F">
        <w:rPr>
          <w:rFonts w:cs="Times New Roman"/>
        </w:rPr>
        <w:t>МИНИСТЕРСТВА ЦИФРОВОГО РАЗВИТИЯ,</w:t>
      </w:r>
      <w:r w:rsidR="00DA7F14" w:rsidRPr="00A43F5F">
        <w:rPr>
          <w:rFonts w:cs="Times New Roman"/>
        </w:rPr>
        <w:t xml:space="preserve"> </w:t>
      </w:r>
      <w:r w:rsidRPr="00A43F5F">
        <w:rPr>
          <w:rFonts w:cs="Times New Roman"/>
        </w:rPr>
        <w:t>СВЯЗИ И МАССОВЫХ КОММУНИКАЦИЙ</w:t>
      </w:r>
    </w:p>
    <w:p w14:paraId="7FAD1084" w14:textId="77777777" w:rsidR="0070580A" w:rsidRPr="00A43F5F" w:rsidRDefault="0070580A" w:rsidP="00E46668">
      <w:pPr>
        <w:jc w:val="center"/>
        <w:rPr>
          <w:rFonts w:cs="Times New Roman"/>
        </w:rPr>
      </w:pPr>
      <w:r w:rsidRPr="00A43F5F">
        <w:rPr>
          <w:rFonts w:cs="Times New Roman"/>
        </w:rPr>
        <w:t>ПРИДНЕСТРОВСКОЙ МОЛДАВСКОЙ РЕСПУБЛИКИ</w:t>
      </w:r>
    </w:p>
    <w:p w14:paraId="0CA0AE69" w14:textId="77777777" w:rsidR="0070580A" w:rsidRPr="00A43F5F" w:rsidRDefault="0070580A" w:rsidP="00E46668">
      <w:pPr>
        <w:rPr>
          <w:rFonts w:cs="Times New Roman"/>
        </w:rPr>
      </w:pPr>
    </w:p>
    <w:p w14:paraId="38D176BE" w14:textId="4F248E89" w:rsidR="00403836" w:rsidRPr="00A43F5F" w:rsidRDefault="00B10B25" w:rsidP="00E46668">
      <w:pPr>
        <w:jc w:val="center"/>
        <w:rPr>
          <w:rFonts w:cs="Times New Roman"/>
        </w:rPr>
      </w:pPr>
      <w:r w:rsidRPr="00A43F5F">
        <w:rPr>
          <w:rFonts w:cs="Times New Roman"/>
        </w:rPr>
        <w:t xml:space="preserve">Об утверждении </w:t>
      </w:r>
      <w:r w:rsidR="00403836" w:rsidRPr="00A43F5F">
        <w:rPr>
          <w:rFonts w:cs="Times New Roman"/>
        </w:rPr>
        <w:t>Перечня товаров, относящихся к оконечному оборудованию электросвязи, средствам электросвязи, содержащим радиоизлучающие средства, обуславливающим как получение услуг оператора электросвязи, так и расширение сети оператора электросвязи, изделиям, обеспечивающим активирование, идентификацию оконечного оборудования электросвязи, обуславливающим получение услуг оператора электросвязи, обеспечивающим подтверждение внесения платы за услуги оператора электросвязи, импорт которых может осуществляться только хозяйствующими субъектами в форме юридического лица</w:t>
      </w:r>
    </w:p>
    <w:p w14:paraId="2E48769E" w14:textId="2CFB6012" w:rsidR="008F53EC" w:rsidRPr="00A43F5F" w:rsidRDefault="008F53EC" w:rsidP="00E46668">
      <w:pPr>
        <w:rPr>
          <w:rFonts w:cs="Times New Roman"/>
        </w:rPr>
      </w:pPr>
    </w:p>
    <w:p w14:paraId="417D8850" w14:textId="77777777" w:rsidR="008F53EC" w:rsidRPr="00A43F5F" w:rsidRDefault="008F53EC" w:rsidP="00E46668">
      <w:pPr>
        <w:jc w:val="center"/>
        <w:rPr>
          <w:rFonts w:cs="Times New Roman"/>
        </w:rPr>
      </w:pPr>
      <w:r w:rsidRPr="00A43F5F">
        <w:rPr>
          <w:rFonts w:cs="Times New Roman"/>
        </w:rPr>
        <w:t>Зарегистрирован Министерством юстиции</w:t>
      </w:r>
    </w:p>
    <w:p w14:paraId="07E33FCE" w14:textId="77777777" w:rsidR="008F53EC" w:rsidRPr="00A43F5F" w:rsidRDefault="008F53EC" w:rsidP="00E46668">
      <w:pPr>
        <w:jc w:val="center"/>
        <w:rPr>
          <w:rFonts w:cs="Times New Roman"/>
        </w:rPr>
      </w:pPr>
      <w:r w:rsidRPr="00A43F5F">
        <w:rPr>
          <w:rFonts w:cs="Times New Roman"/>
        </w:rPr>
        <w:t>Приднестровской Молдавской Республики</w:t>
      </w:r>
    </w:p>
    <w:p w14:paraId="5ABAB08B" w14:textId="7AC66AC6" w:rsidR="008F53EC" w:rsidRPr="00A43F5F" w:rsidRDefault="008F53EC" w:rsidP="00AF4E71">
      <w:pPr>
        <w:jc w:val="center"/>
        <w:rPr>
          <w:rFonts w:cs="Times New Roman"/>
        </w:rPr>
      </w:pPr>
      <w:r w:rsidRPr="00A43F5F">
        <w:rPr>
          <w:rFonts w:cs="Times New Roman"/>
        </w:rPr>
        <w:t>Регистрационный № </w:t>
      </w:r>
      <w:r w:rsidR="00AF4E71" w:rsidRPr="00A43F5F">
        <w:rPr>
          <w:rFonts w:cs="Times New Roman"/>
        </w:rPr>
        <w:t>10773 от 21 января 2022 года</w:t>
      </w:r>
    </w:p>
    <w:p w14:paraId="0188BA78" w14:textId="77777777" w:rsidR="00CD34B7" w:rsidRPr="00A43F5F" w:rsidRDefault="00CD34B7" w:rsidP="00AF4E71">
      <w:pPr>
        <w:jc w:val="center"/>
        <w:rPr>
          <w:rFonts w:cs="Times New Roman"/>
        </w:rPr>
      </w:pPr>
    </w:p>
    <w:p w14:paraId="356ABBD5" w14:textId="2C5ED2CD" w:rsidR="00CD34B7" w:rsidRDefault="00CD34B7" w:rsidP="00450961">
      <w:pPr>
        <w:jc w:val="center"/>
        <w:rPr>
          <w:rFonts w:cs="Times New Roman"/>
        </w:rPr>
      </w:pPr>
      <w:r w:rsidRPr="00A43F5F">
        <w:rPr>
          <w:rFonts w:cs="Times New Roman"/>
        </w:rPr>
        <w:t>(с изменениями и дополнением, внесенными Приказами Министерства цифрового развития, связи и массовых коммуникаций Приднестровской Молдавской Республики от 4 ноября 2022 года № 280 (регистрационный № 11405 от 30</w:t>
      </w:r>
      <w:r w:rsidR="00A43F5F" w:rsidRPr="00A43F5F">
        <w:rPr>
          <w:rFonts w:cs="Times New Roman"/>
        </w:rPr>
        <w:t xml:space="preserve"> ноября</w:t>
      </w:r>
      <w:r w:rsidRPr="00A43F5F">
        <w:rPr>
          <w:rFonts w:cs="Times New Roman"/>
        </w:rPr>
        <w:t xml:space="preserve"> 2022 года</w:t>
      </w:r>
      <w:r w:rsidR="00A43F5F" w:rsidRPr="00A43F5F">
        <w:rPr>
          <w:rFonts w:cs="Times New Roman"/>
        </w:rPr>
        <w:t>) (САЗ 22-47), от 5 декабря 2022 года № 318 (регистрационный № 11417 от 5 декабря 2022 года) (САЗ 22-48)</w:t>
      </w:r>
      <w:r w:rsidR="00450961">
        <w:rPr>
          <w:rFonts w:cs="Times New Roman"/>
        </w:rPr>
        <w:t xml:space="preserve">, от 21 апреля 2023 года № 121 </w:t>
      </w:r>
      <w:r w:rsidR="00450961" w:rsidRPr="00A43F5F">
        <w:rPr>
          <w:rFonts w:cs="Times New Roman"/>
        </w:rPr>
        <w:t xml:space="preserve">(регистрационный № </w:t>
      </w:r>
      <w:r w:rsidR="00450961" w:rsidRPr="00450961">
        <w:rPr>
          <w:rFonts w:cs="Times New Roman"/>
        </w:rPr>
        <w:t>11732</w:t>
      </w:r>
      <w:r w:rsidR="00450961" w:rsidRPr="00A43F5F">
        <w:rPr>
          <w:rFonts w:cs="Times New Roman"/>
        </w:rPr>
        <w:t xml:space="preserve"> от </w:t>
      </w:r>
      <w:r w:rsidR="00450961">
        <w:rPr>
          <w:rFonts w:cs="Times New Roman"/>
        </w:rPr>
        <w:t>19 мая 2023</w:t>
      </w:r>
      <w:r w:rsidR="00450961" w:rsidRPr="00A43F5F">
        <w:rPr>
          <w:rFonts w:cs="Times New Roman"/>
        </w:rPr>
        <w:t xml:space="preserve"> года) </w:t>
      </w:r>
      <w:r w:rsidR="00450961">
        <w:rPr>
          <w:rFonts w:cs="Times New Roman"/>
        </w:rPr>
        <w:t>(</w:t>
      </w:r>
      <w:r w:rsidR="00450961" w:rsidRPr="00A43F5F">
        <w:rPr>
          <w:rFonts w:cs="Times New Roman"/>
        </w:rPr>
        <w:t>САЗ 2</w:t>
      </w:r>
      <w:r w:rsidR="00450961">
        <w:rPr>
          <w:rFonts w:cs="Times New Roman"/>
        </w:rPr>
        <w:t>3</w:t>
      </w:r>
      <w:r w:rsidR="00450961" w:rsidRPr="00A43F5F">
        <w:rPr>
          <w:rFonts w:cs="Times New Roman"/>
        </w:rPr>
        <w:t>-</w:t>
      </w:r>
      <w:r w:rsidR="00450961">
        <w:rPr>
          <w:rFonts w:cs="Times New Roman"/>
        </w:rPr>
        <w:t>20</w:t>
      </w:r>
      <w:r w:rsidR="00450961" w:rsidRPr="00A43F5F">
        <w:rPr>
          <w:rFonts w:cs="Times New Roman"/>
        </w:rPr>
        <w:t>)</w:t>
      </w:r>
    </w:p>
    <w:p w14:paraId="58525F68" w14:textId="77777777" w:rsidR="00450961" w:rsidRDefault="00450961" w:rsidP="00E46668">
      <w:pPr>
        <w:rPr>
          <w:rFonts w:cs="Times New Roman"/>
        </w:rPr>
      </w:pPr>
    </w:p>
    <w:p w14:paraId="347AC863" w14:textId="30B8E16D" w:rsidR="00403836" w:rsidRPr="00A43F5F" w:rsidRDefault="00403836" w:rsidP="00E46668">
      <w:pPr>
        <w:rPr>
          <w:rFonts w:cs="Times New Roman"/>
        </w:rPr>
      </w:pPr>
      <w:r w:rsidRPr="00A43F5F">
        <w:rPr>
          <w:rFonts w:cs="Times New Roman"/>
        </w:rPr>
        <w:t>В соответствии с частью второй подпункта б) пункта 1 статьи 19-1, пунктом 2 статьи 19-1 Закона Приднестровской Молдавской Респ</w:t>
      </w:r>
      <w:r w:rsidR="00E46668" w:rsidRPr="00A43F5F">
        <w:rPr>
          <w:rFonts w:cs="Times New Roman"/>
        </w:rPr>
        <w:t>ублики от 29 августа 2008 года № </w:t>
      </w:r>
      <w:r w:rsidRPr="00A43F5F">
        <w:rPr>
          <w:rFonts w:cs="Times New Roman"/>
        </w:rPr>
        <w:t>536-З-IV «Об электросвязи» (САЗ 08-34), Постановлением Правительства Приднестровской Молдавской Республики от 21 января 2021 года №</w:t>
      </w:r>
      <w:r w:rsidR="00E46668" w:rsidRPr="00A43F5F">
        <w:rPr>
          <w:rFonts w:cs="Times New Roman"/>
        </w:rPr>
        <w:t> </w:t>
      </w:r>
      <w:r w:rsidRPr="00A43F5F">
        <w:rPr>
          <w:rFonts w:cs="Times New Roman"/>
        </w:rPr>
        <w:t>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с  изменениями, внесенными постановлениями Правительства Приднестровской Молдавской Республики от 21 января 2021 года №</w:t>
      </w:r>
      <w:r w:rsidR="00E46668" w:rsidRPr="00A43F5F">
        <w:rPr>
          <w:rFonts w:cs="Times New Roman"/>
        </w:rPr>
        <w:t> </w:t>
      </w:r>
      <w:r w:rsidRPr="00A43F5F">
        <w:rPr>
          <w:rFonts w:cs="Times New Roman"/>
        </w:rPr>
        <w:t>13 (САЗ 21-8), от 13 августа 2021 года №</w:t>
      </w:r>
      <w:r w:rsidR="00E46668" w:rsidRPr="00A43F5F">
        <w:rPr>
          <w:rFonts w:cs="Times New Roman"/>
        </w:rPr>
        <w:t> </w:t>
      </w:r>
      <w:r w:rsidRPr="00A43F5F">
        <w:rPr>
          <w:rFonts w:cs="Times New Roman"/>
        </w:rPr>
        <w:t>268 (САЗ 21-33), от 10 декабря 2021 года №</w:t>
      </w:r>
      <w:r w:rsidR="00E46668" w:rsidRPr="00A43F5F">
        <w:rPr>
          <w:rFonts w:cs="Times New Roman"/>
        </w:rPr>
        <w:t> </w:t>
      </w:r>
      <w:r w:rsidRPr="00A43F5F">
        <w:rPr>
          <w:rFonts w:cs="Times New Roman"/>
        </w:rPr>
        <w:t>391 (САЗ 21-50), в целях идентификации товаров, относящихся к оконечному оборудованию электросвязи, средствам электросвязи, содержащим радиоизлучающие средства, обуславливающим как получение услуг оператора электросвязи, так и расширение сети оператора электросвязи, изделиям, обеспечивающим активирование, идентификацию оконечного оборудования электросвязи, обуславливающим получение услуг оператора электросвязи, обеспечивающим подтверждение внесения платы за услуги оператора электросвязи, импорт которых может осуществляться только хозяйствующими субъектами в форме юридического лица, а также их таможенного оформления при ввозе на территорию Приднестровской Молдавской Республики, п</w:t>
      </w:r>
      <w:r w:rsidR="00AF4E71" w:rsidRPr="00A43F5F">
        <w:rPr>
          <w:rFonts w:cs="Times New Roman"/>
        </w:rPr>
        <w:t xml:space="preserve"> </w:t>
      </w:r>
      <w:r w:rsidRPr="00A43F5F">
        <w:rPr>
          <w:rFonts w:cs="Times New Roman"/>
        </w:rPr>
        <w:t>р</w:t>
      </w:r>
      <w:r w:rsidR="00AF4E71" w:rsidRPr="00A43F5F">
        <w:rPr>
          <w:rFonts w:cs="Times New Roman"/>
        </w:rPr>
        <w:t xml:space="preserve"> </w:t>
      </w:r>
      <w:r w:rsidRPr="00A43F5F">
        <w:rPr>
          <w:rFonts w:cs="Times New Roman"/>
        </w:rPr>
        <w:t>и</w:t>
      </w:r>
      <w:r w:rsidR="00AF4E71" w:rsidRPr="00A43F5F">
        <w:rPr>
          <w:rFonts w:cs="Times New Roman"/>
        </w:rPr>
        <w:t xml:space="preserve"> </w:t>
      </w:r>
      <w:r w:rsidRPr="00A43F5F">
        <w:rPr>
          <w:rFonts w:cs="Times New Roman"/>
        </w:rPr>
        <w:t>к</w:t>
      </w:r>
      <w:r w:rsidR="00AF4E71" w:rsidRPr="00A43F5F">
        <w:rPr>
          <w:rFonts w:cs="Times New Roman"/>
        </w:rPr>
        <w:t xml:space="preserve"> </w:t>
      </w:r>
      <w:r w:rsidRPr="00A43F5F">
        <w:rPr>
          <w:rFonts w:cs="Times New Roman"/>
        </w:rPr>
        <w:t>а</w:t>
      </w:r>
      <w:r w:rsidR="00AF4E71" w:rsidRPr="00A43F5F">
        <w:rPr>
          <w:rFonts w:cs="Times New Roman"/>
        </w:rPr>
        <w:t xml:space="preserve"> </w:t>
      </w:r>
      <w:r w:rsidRPr="00A43F5F">
        <w:rPr>
          <w:rFonts w:cs="Times New Roman"/>
        </w:rPr>
        <w:t>з</w:t>
      </w:r>
      <w:r w:rsidR="00AF4E71" w:rsidRPr="00A43F5F">
        <w:rPr>
          <w:rFonts w:cs="Times New Roman"/>
        </w:rPr>
        <w:t xml:space="preserve"> </w:t>
      </w:r>
      <w:r w:rsidRPr="00A43F5F">
        <w:rPr>
          <w:rFonts w:cs="Times New Roman"/>
        </w:rPr>
        <w:t>ы</w:t>
      </w:r>
      <w:r w:rsidR="00AF4E71" w:rsidRPr="00A43F5F">
        <w:rPr>
          <w:rFonts w:cs="Times New Roman"/>
        </w:rPr>
        <w:t xml:space="preserve"> </w:t>
      </w:r>
      <w:r w:rsidRPr="00A43F5F">
        <w:rPr>
          <w:rFonts w:cs="Times New Roman"/>
        </w:rPr>
        <w:t>в</w:t>
      </w:r>
      <w:r w:rsidR="00AF4E71" w:rsidRPr="00A43F5F">
        <w:rPr>
          <w:rFonts w:cs="Times New Roman"/>
        </w:rPr>
        <w:t xml:space="preserve"> </w:t>
      </w:r>
      <w:r w:rsidRPr="00A43F5F">
        <w:rPr>
          <w:rFonts w:cs="Times New Roman"/>
        </w:rPr>
        <w:t>а</w:t>
      </w:r>
      <w:r w:rsidR="00AF4E71" w:rsidRPr="00A43F5F">
        <w:rPr>
          <w:rFonts w:cs="Times New Roman"/>
        </w:rPr>
        <w:t xml:space="preserve"> </w:t>
      </w:r>
      <w:r w:rsidRPr="00A43F5F">
        <w:rPr>
          <w:rFonts w:cs="Times New Roman"/>
        </w:rPr>
        <w:t>ю:</w:t>
      </w:r>
    </w:p>
    <w:p w14:paraId="656651E2" w14:textId="77777777" w:rsidR="00403836" w:rsidRPr="00A43F5F" w:rsidRDefault="00403836" w:rsidP="00E46668">
      <w:pPr>
        <w:rPr>
          <w:rFonts w:cs="Times New Roman"/>
        </w:rPr>
      </w:pPr>
    </w:p>
    <w:p w14:paraId="216035BA" w14:textId="77777777" w:rsidR="00403836" w:rsidRPr="00A43F5F" w:rsidRDefault="00403836" w:rsidP="00E46668">
      <w:pPr>
        <w:rPr>
          <w:rFonts w:cs="Times New Roman"/>
        </w:rPr>
      </w:pPr>
      <w:r w:rsidRPr="00A43F5F">
        <w:rPr>
          <w:rFonts w:cs="Times New Roman"/>
        </w:rPr>
        <w:t>1. Утвердить перечень товаров, относящихся к оконечному оборудованию электросвязи, средствам электросвязи, содержащим радиоизлучающие средства, обуславливающим как получение услуг оператора электросвязи, так и расширение сети оператора электросвязи, изделиям, обеспечивающим активирование, идентификацию оконечного оборудования электросвязи, обуславливающим получение услуг оператора электросвязи, обеспечивающим подтверждение внесения платы за услуги оператора электросвязи, импорт которых может осуществляться только хозяйствующими субъектами в форме юридического лица, согласно Приложению к настоящему Приказу.</w:t>
      </w:r>
    </w:p>
    <w:p w14:paraId="02F9E642" w14:textId="10771D2A" w:rsidR="00403836" w:rsidRPr="00A43F5F" w:rsidRDefault="00403836" w:rsidP="00E46668">
      <w:pPr>
        <w:rPr>
          <w:rFonts w:cs="Times New Roman"/>
        </w:rPr>
      </w:pPr>
      <w:r w:rsidRPr="00A43F5F">
        <w:rPr>
          <w:rFonts w:cs="Times New Roman"/>
        </w:rPr>
        <w:lastRenderedPageBreak/>
        <w:t>2. Направить настоящий Приказ на государственную регистрацию и официальное опубликование в Министерство юстиции Приднест</w:t>
      </w:r>
      <w:r w:rsidR="00E46668" w:rsidRPr="00A43F5F">
        <w:rPr>
          <w:rFonts w:cs="Times New Roman"/>
        </w:rPr>
        <w:t>ровской Молдавской Республики.</w:t>
      </w:r>
    </w:p>
    <w:p w14:paraId="09706B62" w14:textId="77777777" w:rsidR="00E46668" w:rsidRPr="00A43F5F" w:rsidRDefault="00403836" w:rsidP="00E46668">
      <w:pPr>
        <w:rPr>
          <w:rFonts w:cs="Times New Roman"/>
        </w:rPr>
      </w:pPr>
      <w:r w:rsidRPr="00A43F5F">
        <w:rPr>
          <w:rFonts w:cs="Times New Roman"/>
        </w:rPr>
        <w:t>3. Настоящий Приказ вступает в силу со дня, следующего за днем его официального опубликования.</w:t>
      </w:r>
    </w:p>
    <w:p w14:paraId="410935AC" w14:textId="77777777" w:rsidR="00E46668" w:rsidRPr="00A43F5F" w:rsidRDefault="00E46668" w:rsidP="00E46668">
      <w:pPr>
        <w:rPr>
          <w:rFonts w:cs="Times New Roman"/>
        </w:rPr>
      </w:pPr>
    </w:p>
    <w:p w14:paraId="595F50EC" w14:textId="38D43BDC" w:rsidR="0070580A" w:rsidRPr="00A43F5F" w:rsidRDefault="0070580A" w:rsidP="00E46668">
      <w:pPr>
        <w:ind w:firstLine="0"/>
        <w:rPr>
          <w:rFonts w:cs="Times New Roman"/>
        </w:rPr>
      </w:pPr>
      <w:r w:rsidRPr="00A43F5F">
        <w:rPr>
          <w:rFonts w:cs="Times New Roman"/>
        </w:rPr>
        <w:t>Министр                                                                                                                    С. БАБЕНКО</w:t>
      </w:r>
    </w:p>
    <w:p w14:paraId="2D24BED5" w14:textId="77777777" w:rsidR="008138E6" w:rsidRPr="00A43F5F" w:rsidRDefault="008138E6" w:rsidP="00E46668">
      <w:pPr>
        <w:rPr>
          <w:rFonts w:cs="Times New Roman"/>
        </w:rPr>
      </w:pPr>
    </w:p>
    <w:p w14:paraId="38B052BD" w14:textId="77777777" w:rsidR="0070580A" w:rsidRPr="00A43F5F" w:rsidRDefault="0070580A" w:rsidP="00E46668">
      <w:pPr>
        <w:rPr>
          <w:rFonts w:cs="Times New Roman"/>
        </w:rPr>
      </w:pPr>
      <w:r w:rsidRPr="00A43F5F">
        <w:rPr>
          <w:rFonts w:cs="Times New Roman"/>
        </w:rPr>
        <w:t>г. Тирасполь</w:t>
      </w:r>
    </w:p>
    <w:p w14:paraId="5F62F0CE" w14:textId="4AE3B18C" w:rsidR="0070580A" w:rsidRPr="00A43F5F" w:rsidRDefault="0070580A" w:rsidP="00E46668">
      <w:pPr>
        <w:ind w:firstLine="0"/>
        <w:rPr>
          <w:rFonts w:cs="Times New Roman"/>
        </w:rPr>
      </w:pPr>
      <w:r w:rsidRPr="00A43F5F">
        <w:rPr>
          <w:rFonts w:cs="Times New Roman"/>
        </w:rPr>
        <w:t>от</w:t>
      </w:r>
      <w:r w:rsidR="00715FD3" w:rsidRPr="00A43F5F">
        <w:rPr>
          <w:rFonts w:cs="Times New Roman"/>
        </w:rPr>
        <w:t xml:space="preserve"> </w:t>
      </w:r>
      <w:r w:rsidR="005E0099" w:rsidRPr="00A43F5F">
        <w:rPr>
          <w:rFonts w:cs="Times New Roman"/>
        </w:rPr>
        <w:t>28</w:t>
      </w:r>
      <w:r w:rsidR="00060CEC" w:rsidRPr="00A43F5F">
        <w:rPr>
          <w:rFonts w:cs="Times New Roman"/>
        </w:rPr>
        <w:t xml:space="preserve"> </w:t>
      </w:r>
      <w:r w:rsidR="00715FD3" w:rsidRPr="00A43F5F">
        <w:rPr>
          <w:rFonts w:cs="Times New Roman"/>
        </w:rPr>
        <w:t>декабря</w:t>
      </w:r>
      <w:r w:rsidRPr="00A43F5F">
        <w:rPr>
          <w:rFonts w:cs="Times New Roman"/>
        </w:rPr>
        <w:t xml:space="preserve"> 2021 г.</w:t>
      </w:r>
    </w:p>
    <w:p w14:paraId="71BCE7FF" w14:textId="1D35165E" w:rsidR="0070580A" w:rsidRPr="00A43F5F" w:rsidRDefault="005E0099" w:rsidP="00E46668">
      <w:pPr>
        <w:rPr>
          <w:rFonts w:cs="Times New Roman"/>
        </w:rPr>
      </w:pPr>
      <w:r w:rsidRPr="00A43F5F">
        <w:rPr>
          <w:rFonts w:cs="Times New Roman"/>
        </w:rPr>
        <w:t>№ 284</w:t>
      </w:r>
    </w:p>
    <w:p w14:paraId="6EC72D96" w14:textId="6A2CB559" w:rsidR="00D30E4A" w:rsidRPr="00A43F5F" w:rsidRDefault="00D30E4A" w:rsidP="00E46668">
      <w:pPr>
        <w:rPr>
          <w:rFonts w:cs="Times New Roman"/>
        </w:rPr>
      </w:pPr>
    </w:p>
    <w:p w14:paraId="3F664B9E" w14:textId="77777777" w:rsidR="00D30E4A" w:rsidRPr="00A43F5F" w:rsidRDefault="00D30E4A" w:rsidP="00E46668">
      <w:pPr>
        <w:ind w:left="4820" w:firstLine="0"/>
        <w:rPr>
          <w:rFonts w:cs="Times New Roman"/>
        </w:rPr>
      </w:pPr>
      <w:r w:rsidRPr="00A43F5F">
        <w:rPr>
          <w:rFonts w:cs="Times New Roman"/>
        </w:rPr>
        <w:t>Приложение к Приказу</w:t>
      </w:r>
    </w:p>
    <w:p w14:paraId="526FC4E3" w14:textId="351FDF13" w:rsidR="00D30E4A" w:rsidRPr="00A43F5F" w:rsidRDefault="00D30E4A" w:rsidP="00E46668">
      <w:pPr>
        <w:ind w:left="4820" w:firstLine="0"/>
        <w:rPr>
          <w:rFonts w:cs="Times New Roman"/>
        </w:rPr>
      </w:pPr>
      <w:r w:rsidRPr="00A43F5F">
        <w:rPr>
          <w:rFonts w:cs="Times New Roman"/>
        </w:rPr>
        <w:t>М</w:t>
      </w:r>
      <w:r w:rsidR="0058622A" w:rsidRPr="00A43F5F">
        <w:rPr>
          <w:rFonts w:cs="Times New Roman"/>
        </w:rPr>
        <w:t>инистерства цифрового развития,</w:t>
      </w:r>
    </w:p>
    <w:p w14:paraId="24E12629" w14:textId="77777777" w:rsidR="00D30E4A" w:rsidRPr="00A43F5F" w:rsidRDefault="00D30E4A" w:rsidP="00E46668">
      <w:pPr>
        <w:ind w:left="4820" w:firstLine="0"/>
        <w:rPr>
          <w:rFonts w:cs="Times New Roman"/>
        </w:rPr>
      </w:pPr>
      <w:r w:rsidRPr="00A43F5F">
        <w:rPr>
          <w:rFonts w:cs="Times New Roman"/>
        </w:rPr>
        <w:t>связи и массовых коммуникаций</w:t>
      </w:r>
    </w:p>
    <w:p w14:paraId="6C81C9BC" w14:textId="3063D5EA" w:rsidR="00D30E4A" w:rsidRPr="00A43F5F" w:rsidRDefault="00D30E4A" w:rsidP="00E46668">
      <w:pPr>
        <w:ind w:left="4820" w:firstLine="0"/>
        <w:rPr>
          <w:rFonts w:cs="Times New Roman"/>
        </w:rPr>
      </w:pPr>
      <w:r w:rsidRPr="00A43F5F">
        <w:rPr>
          <w:rFonts w:cs="Times New Roman"/>
        </w:rPr>
        <w:t>Придне</w:t>
      </w:r>
      <w:r w:rsidR="0058622A" w:rsidRPr="00A43F5F">
        <w:rPr>
          <w:rFonts w:cs="Times New Roman"/>
        </w:rPr>
        <w:t>стровской Молдавской Республики</w:t>
      </w:r>
    </w:p>
    <w:p w14:paraId="4A251F24" w14:textId="04FB4146" w:rsidR="00D30E4A" w:rsidRPr="00A43F5F" w:rsidRDefault="00D30E4A" w:rsidP="00E46668">
      <w:pPr>
        <w:ind w:left="4820" w:firstLine="0"/>
        <w:rPr>
          <w:rFonts w:cs="Times New Roman"/>
        </w:rPr>
      </w:pPr>
      <w:r w:rsidRPr="00A43F5F">
        <w:rPr>
          <w:rFonts w:cs="Times New Roman"/>
        </w:rPr>
        <w:t xml:space="preserve">от </w:t>
      </w:r>
      <w:r w:rsidR="00AF30D4" w:rsidRPr="00A43F5F">
        <w:rPr>
          <w:rFonts w:cs="Times New Roman"/>
        </w:rPr>
        <w:t>28 декабря 2021 года</w:t>
      </w:r>
      <w:r w:rsidRPr="00A43F5F">
        <w:rPr>
          <w:rFonts w:cs="Times New Roman"/>
        </w:rPr>
        <w:t xml:space="preserve"> №</w:t>
      </w:r>
      <w:r w:rsidR="00FE16A5" w:rsidRPr="00A43F5F">
        <w:rPr>
          <w:rFonts w:cs="Times New Roman"/>
        </w:rPr>
        <w:t> </w:t>
      </w:r>
      <w:r w:rsidR="00AF30D4" w:rsidRPr="00A43F5F">
        <w:rPr>
          <w:rFonts w:cs="Times New Roman"/>
        </w:rPr>
        <w:t>284</w:t>
      </w:r>
    </w:p>
    <w:p w14:paraId="0D288D03" w14:textId="06C03880" w:rsidR="00D30E4A" w:rsidRPr="00A43F5F" w:rsidRDefault="00D30E4A" w:rsidP="00E46668">
      <w:pPr>
        <w:rPr>
          <w:rFonts w:cs="Times New Roman"/>
        </w:rPr>
      </w:pPr>
    </w:p>
    <w:p w14:paraId="61DF9130" w14:textId="77777777" w:rsidR="00403836" w:rsidRPr="00A43F5F" w:rsidRDefault="00403836" w:rsidP="00E46668">
      <w:pPr>
        <w:jc w:val="center"/>
        <w:rPr>
          <w:rFonts w:cs="Times New Roman"/>
        </w:rPr>
      </w:pPr>
      <w:r w:rsidRPr="00A43F5F">
        <w:rPr>
          <w:rFonts w:cs="Times New Roman"/>
        </w:rPr>
        <w:t>Перечень товаров, относящихся к оконечному оборудованию электросвязи, средствам электросвязи, содержащим радиоизлучающие средства, обуславливающим как получение услуг оператора электросвязи, так и расширение сети оператора электросвязи, изделиям, обеспечивающим активирование, идентификацию оконечного оборудования электросвязи, обуславливающим получение услуг оператора электросвязи, обеспечивающим подтверждение внесения платы за услуги оператора электросвязи, импорт которых может осуществляться только хозяйствующими субъектами в форме юридического лица</w:t>
      </w:r>
    </w:p>
    <w:p w14:paraId="58D1C0F8" w14:textId="77777777" w:rsidR="00403836" w:rsidRPr="00A43F5F" w:rsidRDefault="00403836" w:rsidP="00E46668">
      <w:pPr>
        <w:rPr>
          <w:rFonts w:cs="Times New Roman"/>
        </w:rPr>
      </w:pPr>
    </w:p>
    <w:tbl>
      <w:tblPr>
        <w:tblW w:w="935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824"/>
        <w:gridCol w:w="1867"/>
        <w:gridCol w:w="6662"/>
      </w:tblGrid>
      <w:tr w:rsidR="00403836" w:rsidRPr="00A43F5F" w14:paraId="33E27C2E" w14:textId="77777777" w:rsidTr="00354C08">
        <w:tc>
          <w:tcPr>
            <w:tcW w:w="824" w:type="dxa"/>
          </w:tcPr>
          <w:p w14:paraId="3F6BA2F0" w14:textId="77777777" w:rsidR="00403836" w:rsidRPr="00A43F5F" w:rsidRDefault="00403836" w:rsidP="00B75335">
            <w:pPr>
              <w:jc w:val="center"/>
              <w:rPr>
                <w:rFonts w:cs="Times New Roman"/>
              </w:rPr>
            </w:pPr>
            <w:r w:rsidRPr="00A43F5F">
              <w:rPr>
                <w:rFonts w:cs="Times New Roman"/>
              </w:rPr>
              <w:t>п/п</w:t>
            </w:r>
          </w:p>
        </w:tc>
        <w:tc>
          <w:tcPr>
            <w:tcW w:w="1867" w:type="dxa"/>
            <w:shd w:val="clear" w:color="auto" w:fill="auto"/>
            <w:vAlign w:val="center"/>
          </w:tcPr>
          <w:p w14:paraId="1F56A483" w14:textId="35B11CD8" w:rsidR="00403836" w:rsidRPr="00A43F5F" w:rsidRDefault="00403836" w:rsidP="00B75335">
            <w:pPr>
              <w:jc w:val="center"/>
              <w:rPr>
                <w:rFonts w:cs="Times New Roman"/>
              </w:rPr>
            </w:pPr>
            <w:r w:rsidRPr="00A43F5F">
              <w:rPr>
                <w:rFonts w:cs="Times New Roman"/>
              </w:rPr>
              <w:t>Код ТН ВЭД</w:t>
            </w:r>
          </w:p>
        </w:tc>
        <w:tc>
          <w:tcPr>
            <w:tcW w:w="6662" w:type="dxa"/>
            <w:shd w:val="clear" w:color="auto" w:fill="auto"/>
            <w:vAlign w:val="center"/>
          </w:tcPr>
          <w:p w14:paraId="59F1FF78" w14:textId="77777777" w:rsidR="00403836" w:rsidRPr="00A43F5F" w:rsidRDefault="00403836" w:rsidP="00B75335">
            <w:pPr>
              <w:jc w:val="center"/>
              <w:rPr>
                <w:rFonts w:cs="Times New Roman"/>
              </w:rPr>
            </w:pPr>
            <w:r w:rsidRPr="00A43F5F">
              <w:rPr>
                <w:rFonts w:cs="Times New Roman"/>
              </w:rPr>
              <w:t>Наименование товара</w:t>
            </w:r>
          </w:p>
        </w:tc>
      </w:tr>
      <w:tr w:rsidR="00403836" w:rsidRPr="00A43F5F" w14:paraId="13775AC6" w14:textId="77777777" w:rsidTr="00354C08">
        <w:tc>
          <w:tcPr>
            <w:tcW w:w="824" w:type="dxa"/>
          </w:tcPr>
          <w:p w14:paraId="12C2C588" w14:textId="34D7BACF" w:rsidR="00403836" w:rsidRPr="00A43F5F" w:rsidRDefault="00D724FC" w:rsidP="00B75335">
            <w:pPr>
              <w:jc w:val="center"/>
              <w:rPr>
                <w:rFonts w:cs="Times New Roman"/>
              </w:rPr>
            </w:pPr>
            <w:r w:rsidRPr="00A43F5F">
              <w:rPr>
                <w:rFonts w:cs="Times New Roman"/>
              </w:rPr>
              <w:t>1.</w:t>
            </w:r>
          </w:p>
        </w:tc>
        <w:tc>
          <w:tcPr>
            <w:tcW w:w="1867" w:type="dxa"/>
            <w:shd w:val="clear" w:color="auto" w:fill="auto"/>
          </w:tcPr>
          <w:p w14:paraId="5520BD8F" w14:textId="2A47AB6D" w:rsidR="00403836" w:rsidRPr="00A43F5F" w:rsidRDefault="00B75335" w:rsidP="00B75335">
            <w:pPr>
              <w:jc w:val="center"/>
              <w:rPr>
                <w:rFonts w:cs="Times New Roman"/>
              </w:rPr>
            </w:pPr>
            <w:r w:rsidRPr="00A43F5F">
              <w:rPr>
                <w:rFonts w:cs="Times New Roman"/>
              </w:rPr>
              <w:t>4911 99 001</w:t>
            </w:r>
          </w:p>
        </w:tc>
        <w:tc>
          <w:tcPr>
            <w:tcW w:w="6662" w:type="dxa"/>
            <w:shd w:val="clear" w:color="auto" w:fill="auto"/>
          </w:tcPr>
          <w:p w14:paraId="6414F7E8" w14:textId="77777777" w:rsidR="00403836" w:rsidRPr="00A43F5F" w:rsidRDefault="00403836" w:rsidP="00B75335">
            <w:pPr>
              <w:rPr>
                <w:rFonts w:cs="Times New Roman"/>
              </w:rPr>
            </w:pPr>
            <w:r w:rsidRPr="00A43F5F">
              <w:rPr>
                <w:rFonts w:cs="Times New Roman"/>
              </w:rPr>
              <w:t>Скретч-карты, карты предоплаты, средства подтверждения внесения оплаты, карты оплаты услуг электросвязи оператора электросвязи, имеющего соответствующие лицензии на предоставление услуг электросвязи, выданные в соответствии законодательством Приднестровской Молдавской Республики</w:t>
            </w:r>
          </w:p>
        </w:tc>
      </w:tr>
      <w:tr w:rsidR="00403836" w:rsidRPr="00A43F5F" w14:paraId="36D20C20" w14:textId="77777777" w:rsidTr="00354C08">
        <w:tc>
          <w:tcPr>
            <w:tcW w:w="824" w:type="dxa"/>
          </w:tcPr>
          <w:p w14:paraId="64E20916" w14:textId="0355AF1F" w:rsidR="00403836" w:rsidRPr="00A43F5F" w:rsidRDefault="00D724FC" w:rsidP="00B75335">
            <w:pPr>
              <w:jc w:val="center"/>
              <w:rPr>
                <w:rFonts w:cs="Times New Roman"/>
              </w:rPr>
            </w:pPr>
            <w:r w:rsidRPr="00A43F5F">
              <w:rPr>
                <w:rFonts w:cs="Times New Roman"/>
              </w:rPr>
              <w:t>2.</w:t>
            </w:r>
          </w:p>
        </w:tc>
        <w:tc>
          <w:tcPr>
            <w:tcW w:w="1867" w:type="dxa"/>
            <w:shd w:val="clear" w:color="auto" w:fill="auto"/>
          </w:tcPr>
          <w:p w14:paraId="4E8382CF" w14:textId="5EEAABC1" w:rsidR="00403836" w:rsidRPr="00A43F5F" w:rsidRDefault="00403836" w:rsidP="00B75335">
            <w:pPr>
              <w:jc w:val="center"/>
              <w:rPr>
                <w:rFonts w:cs="Times New Roman"/>
              </w:rPr>
            </w:pPr>
            <w:r w:rsidRPr="00A43F5F">
              <w:rPr>
                <w:rFonts w:cs="Times New Roman"/>
              </w:rPr>
              <w:t>8517 61 000</w:t>
            </w:r>
          </w:p>
        </w:tc>
        <w:tc>
          <w:tcPr>
            <w:tcW w:w="6662" w:type="dxa"/>
            <w:shd w:val="clear" w:color="auto" w:fill="auto"/>
          </w:tcPr>
          <w:p w14:paraId="263E15AB" w14:textId="77777777" w:rsidR="00403836" w:rsidRPr="00A43F5F" w:rsidRDefault="00403836" w:rsidP="00B75335">
            <w:pPr>
              <w:rPr>
                <w:rFonts w:cs="Times New Roman"/>
              </w:rPr>
            </w:pPr>
            <w:r w:rsidRPr="00A43F5F">
              <w:rPr>
                <w:rFonts w:cs="Times New Roman"/>
              </w:rPr>
              <w:t>Базовые станции</w:t>
            </w:r>
          </w:p>
        </w:tc>
      </w:tr>
      <w:tr w:rsidR="00403836" w:rsidRPr="00A43F5F" w14:paraId="340EB879" w14:textId="77777777" w:rsidTr="00354C08">
        <w:tc>
          <w:tcPr>
            <w:tcW w:w="824" w:type="dxa"/>
          </w:tcPr>
          <w:p w14:paraId="3327FAA6" w14:textId="74BA866F" w:rsidR="00403836" w:rsidRPr="00A43F5F" w:rsidRDefault="00D724FC" w:rsidP="00B75335">
            <w:pPr>
              <w:jc w:val="center"/>
              <w:rPr>
                <w:rFonts w:cs="Times New Roman"/>
              </w:rPr>
            </w:pPr>
            <w:r w:rsidRPr="00A43F5F">
              <w:rPr>
                <w:rFonts w:cs="Times New Roman"/>
              </w:rPr>
              <w:t>3.</w:t>
            </w:r>
          </w:p>
        </w:tc>
        <w:tc>
          <w:tcPr>
            <w:tcW w:w="1867" w:type="dxa"/>
            <w:shd w:val="clear" w:color="auto" w:fill="auto"/>
          </w:tcPr>
          <w:p w14:paraId="1FC76FAC" w14:textId="54836F4E" w:rsidR="00403836" w:rsidRPr="00A43F5F" w:rsidRDefault="00B75335" w:rsidP="00B75335">
            <w:pPr>
              <w:jc w:val="center"/>
              <w:rPr>
                <w:rFonts w:cs="Times New Roman"/>
              </w:rPr>
            </w:pPr>
            <w:r w:rsidRPr="00A43F5F">
              <w:rPr>
                <w:rFonts w:cs="Times New Roman"/>
              </w:rPr>
              <w:t>8523 52 001</w:t>
            </w:r>
          </w:p>
        </w:tc>
        <w:tc>
          <w:tcPr>
            <w:tcW w:w="6662" w:type="dxa"/>
            <w:shd w:val="clear" w:color="auto" w:fill="auto"/>
          </w:tcPr>
          <w:p w14:paraId="4113EA42" w14:textId="41101978" w:rsidR="00403836" w:rsidRPr="00A43F5F" w:rsidRDefault="00403836" w:rsidP="00B75335">
            <w:pPr>
              <w:rPr>
                <w:rFonts w:cs="Times New Roman"/>
              </w:rPr>
            </w:pPr>
            <w:r w:rsidRPr="00A43F5F">
              <w:rPr>
                <w:rFonts w:cs="Times New Roman"/>
              </w:rPr>
              <w:t>Пластиковые интеллектуальные карты (SIM-карты) оператора электросвязи, имеющего соответствующие лицензии на предоставление услуг электросвязи, выданные в соответствии с законодательством Приднестровской Молдавской Республики</w:t>
            </w:r>
          </w:p>
        </w:tc>
      </w:tr>
      <w:tr w:rsidR="00B75335" w:rsidRPr="00A43F5F" w14:paraId="6AB4515A" w14:textId="77777777" w:rsidTr="00354C08">
        <w:tc>
          <w:tcPr>
            <w:tcW w:w="824" w:type="dxa"/>
          </w:tcPr>
          <w:p w14:paraId="745D8F73" w14:textId="21ADF3F3" w:rsidR="00B75335" w:rsidRPr="00A43F5F" w:rsidRDefault="00B75335" w:rsidP="00B75335">
            <w:pPr>
              <w:jc w:val="center"/>
              <w:rPr>
                <w:rFonts w:cs="Times New Roman"/>
              </w:rPr>
            </w:pPr>
            <w:r w:rsidRPr="00A43F5F">
              <w:rPr>
                <w:rFonts w:cs="Times New Roman"/>
              </w:rPr>
              <w:t>4.</w:t>
            </w:r>
          </w:p>
        </w:tc>
        <w:tc>
          <w:tcPr>
            <w:tcW w:w="1867" w:type="dxa"/>
            <w:shd w:val="clear" w:color="auto" w:fill="auto"/>
          </w:tcPr>
          <w:p w14:paraId="445520D1" w14:textId="6BCC0671" w:rsidR="00B75335" w:rsidRPr="00A43F5F" w:rsidRDefault="00B75335" w:rsidP="00B75335">
            <w:pPr>
              <w:jc w:val="center"/>
              <w:rPr>
                <w:rFonts w:cs="Times New Roman"/>
              </w:rPr>
            </w:pPr>
            <w:r w:rsidRPr="00A43F5F">
              <w:rPr>
                <w:rFonts w:cs="Times New Roman"/>
              </w:rPr>
              <w:t>8517 13 000</w:t>
            </w:r>
          </w:p>
        </w:tc>
        <w:tc>
          <w:tcPr>
            <w:tcW w:w="6662" w:type="dxa"/>
            <w:shd w:val="clear" w:color="auto" w:fill="auto"/>
          </w:tcPr>
          <w:p w14:paraId="10D8DD73" w14:textId="4C2C6B94" w:rsidR="00B75335" w:rsidRPr="00A43F5F" w:rsidRDefault="00B75335" w:rsidP="00B75335">
            <w:pPr>
              <w:rPr>
                <w:rFonts w:cs="Times New Roman"/>
              </w:rPr>
            </w:pPr>
            <w:r w:rsidRPr="00A43F5F">
              <w:rPr>
                <w:rFonts w:cs="Times New Roman"/>
              </w:rPr>
              <w:t>Смартфоны</w:t>
            </w:r>
          </w:p>
        </w:tc>
      </w:tr>
      <w:tr w:rsidR="00B75335" w:rsidRPr="00A43F5F" w14:paraId="57A4F6E8" w14:textId="77777777" w:rsidTr="00354C08">
        <w:tc>
          <w:tcPr>
            <w:tcW w:w="824" w:type="dxa"/>
          </w:tcPr>
          <w:p w14:paraId="2D323761" w14:textId="29748593" w:rsidR="00B75335" w:rsidRPr="00A43F5F" w:rsidRDefault="00B75335" w:rsidP="00B75335">
            <w:pPr>
              <w:jc w:val="center"/>
              <w:rPr>
                <w:rFonts w:cs="Times New Roman"/>
              </w:rPr>
            </w:pPr>
            <w:r w:rsidRPr="00A43F5F">
              <w:rPr>
                <w:rFonts w:cs="Times New Roman"/>
              </w:rPr>
              <w:t>5.</w:t>
            </w:r>
          </w:p>
        </w:tc>
        <w:tc>
          <w:tcPr>
            <w:tcW w:w="1867" w:type="dxa"/>
            <w:shd w:val="clear" w:color="auto" w:fill="auto"/>
          </w:tcPr>
          <w:p w14:paraId="7A8352FC" w14:textId="728547B4" w:rsidR="00B75335" w:rsidRPr="00A43F5F" w:rsidRDefault="00B75335" w:rsidP="00B75335">
            <w:pPr>
              <w:jc w:val="center"/>
              <w:rPr>
                <w:rFonts w:cs="Times New Roman"/>
              </w:rPr>
            </w:pPr>
            <w:r w:rsidRPr="00A43F5F">
              <w:rPr>
                <w:rFonts w:cs="Times New Roman"/>
              </w:rPr>
              <w:t>8517 14 000</w:t>
            </w:r>
          </w:p>
        </w:tc>
        <w:tc>
          <w:tcPr>
            <w:tcW w:w="6662" w:type="dxa"/>
            <w:shd w:val="clear" w:color="auto" w:fill="auto"/>
          </w:tcPr>
          <w:p w14:paraId="1B138A15" w14:textId="152D400D" w:rsidR="00B75335" w:rsidRPr="00A43F5F" w:rsidRDefault="00B75335" w:rsidP="00B75335">
            <w:pPr>
              <w:rPr>
                <w:rFonts w:cs="Times New Roman"/>
              </w:rPr>
            </w:pPr>
            <w:r w:rsidRPr="00A43F5F">
              <w:rPr>
                <w:rFonts w:cs="Times New Roman"/>
              </w:rPr>
              <w:t>Прочие аппараты телефонные для сотовых сетей связи или других беспроводных сетей связи</w:t>
            </w:r>
          </w:p>
        </w:tc>
      </w:tr>
      <w:tr w:rsidR="008C3F5C" w:rsidRPr="00A43F5F" w14:paraId="0F207EE5" w14:textId="77777777" w:rsidTr="00354C08">
        <w:tc>
          <w:tcPr>
            <w:tcW w:w="824" w:type="dxa"/>
          </w:tcPr>
          <w:p w14:paraId="1FA1DAF9" w14:textId="6CB0CE43" w:rsidR="008C3F5C" w:rsidRPr="00A43F5F" w:rsidRDefault="008C3F5C" w:rsidP="00B75335">
            <w:pPr>
              <w:jc w:val="center"/>
              <w:rPr>
                <w:rFonts w:cs="Times New Roman"/>
              </w:rPr>
            </w:pPr>
            <w:r>
              <w:rPr>
                <w:rFonts w:cs="Times New Roman"/>
              </w:rPr>
              <w:t>6.</w:t>
            </w:r>
          </w:p>
        </w:tc>
        <w:tc>
          <w:tcPr>
            <w:tcW w:w="1867" w:type="dxa"/>
            <w:shd w:val="clear" w:color="auto" w:fill="auto"/>
          </w:tcPr>
          <w:p w14:paraId="1F5A40A6" w14:textId="5623C8C7" w:rsidR="008C3F5C" w:rsidRPr="00A43F5F" w:rsidRDefault="008C3F5C" w:rsidP="00B75335">
            <w:pPr>
              <w:jc w:val="center"/>
              <w:rPr>
                <w:rFonts w:cs="Times New Roman"/>
              </w:rPr>
            </w:pPr>
            <w:r>
              <w:t>8517 62 001</w:t>
            </w:r>
          </w:p>
        </w:tc>
        <w:tc>
          <w:tcPr>
            <w:tcW w:w="6662" w:type="dxa"/>
            <w:shd w:val="clear" w:color="auto" w:fill="auto"/>
          </w:tcPr>
          <w:p w14:paraId="646EF100" w14:textId="08C14C84" w:rsidR="008C3F5C" w:rsidRPr="00A43F5F" w:rsidRDefault="008C3F5C" w:rsidP="00B75335">
            <w:pPr>
              <w:rPr>
                <w:rFonts w:cs="Times New Roman"/>
              </w:rPr>
            </w:pPr>
            <w:r>
              <w:t>Машины для приема, преобразования и передачи голоса, изображений или других данных, включая машины для коммуникации, в сетях спутниковых систем связи</w:t>
            </w:r>
          </w:p>
        </w:tc>
      </w:tr>
    </w:tbl>
    <w:p w14:paraId="17444D16" w14:textId="77777777" w:rsidR="00403836" w:rsidRPr="00B75335" w:rsidRDefault="00403836" w:rsidP="00B75335">
      <w:pPr>
        <w:jc w:val="center"/>
      </w:pPr>
    </w:p>
    <w:sectPr w:rsidR="00403836" w:rsidRPr="00B75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626F"/>
    <w:multiLevelType w:val="hybridMultilevel"/>
    <w:tmpl w:val="3C4A7420"/>
    <w:lvl w:ilvl="0" w:tplc="77DA71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1FE1190"/>
    <w:multiLevelType w:val="hybridMultilevel"/>
    <w:tmpl w:val="BE182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B25A51"/>
    <w:multiLevelType w:val="hybridMultilevel"/>
    <w:tmpl w:val="18A0F2E6"/>
    <w:lvl w:ilvl="0" w:tplc="4D4244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856CF2"/>
    <w:multiLevelType w:val="hybridMultilevel"/>
    <w:tmpl w:val="AF2C972A"/>
    <w:lvl w:ilvl="0" w:tplc="A2E49C2C">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1510E0D"/>
    <w:multiLevelType w:val="hybridMultilevel"/>
    <w:tmpl w:val="77766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7B1761"/>
    <w:multiLevelType w:val="hybridMultilevel"/>
    <w:tmpl w:val="F112D5D0"/>
    <w:lvl w:ilvl="0" w:tplc="5EDEE836">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60"/>
    <w:rsid w:val="000322EA"/>
    <w:rsid w:val="000343BA"/>
    <w:rsid w:val="00060CEC"/>
    <w:rsid w:val="000B44F7"/>
    <w:rsid w:val="000B74C3"/>
    <w:rsid w:val="000E136E"/>
    <w:rsid w:val="000E5668"/>
    <w:rsid w:val="000E687C"/>
    <w:rsid w:val="0011198C"/>
    <w:rsid w:val="001238A5"/>
    <w:rsid w:val="0013618E"/>
    <w:rsid w:val="001406F5"/>
    <w:rsid w:val="00150F8D"/>
    <w:rsid w:val="00183F42"/>
    <w:rsid w:val="001C469A"/>
    <w:rsid w:val="001D6F31"/>
    <w:rsid w:val="002004DF"/>
    <w:rsid w:val="002245D4"/>
    <w:rsid w:val="0023404A"/>
    <w:rsid w:val="002543BC"/>
    <w:rsid w:val="00277D0C"/>
    <w:rsid w:val="002B1CA9"/>
    <w:rsid w:val="002D08C5"/>
    <w:rsid w:val="002E1005"/>
    <w:rsid w:val="00322E23"/>
    <w:rsid w:val="00331242"/>
    <w:rsid w:val="00333590"/>
    <w:rsid w:val="00354C08"/>
    <w:rsid w:val="00354FCE"/>
    <w:rsid w:val="003D3C2B"/>
    <w:rsid w:val="003F0477"/>
    <w:rsid w:val="00403836"/>
    <w:rsid w:val="00414703"/>
    <w:rsid w:val="00434A49"/>
    <w:rsid w:val="00436FFF"/>
    <w:rsid w:val="00450961"/>
    <w:rsid w:val="00476A1C"/>
    <w:rsid w:val="004818B0"/>
    <w:rsid w:val="004E6539"/>
    <w:rsid w:val="005121C6"/>
    <w:rsid w:val="005210C5"/>
    <w:rsid w:val="005216D9"/>
    <w:rsid w:val="00543777"/>
    <w:rsid w:val="00551BB4"/>
    <w:rsid w:val="0058622A"/>
    <w:rsid w:val="005B097C"/>
    <w:rsid w:val="005B326F"/>
    <w:rsid w:val="005E0099"/>
    <w:rsid w:val="005F002C"/>
    <w:rsid w:val="006068DA"/>
    <w:rsid w:val="00613692"/>
    <w:rsid w:val="006C4960"/>
    <w:rsid w:val="006F5FFD"/>
    <w:rsid w:val="0070580A"/>
    <w:rsid w:val="00715FD3"/>
    <w:rsid w:val="0072098B"/>
    <w:rsid w:val="00737956"/>
    <w:rsid w:val="00764C8F"/>
    <w:rsid w:val="007A5841"/>
    <w:rsid w:val="007D1DBA"/>
    <w:rsid w:val="007F1A6B"/>
    <w:rsid w:val="007F2D37"/>
    <w:rsid w:val="007F5DCB"/>
    <w:rsid w:val="00804803"/>
    <w:rsid w:val="00810256"/>
    <w:rsid w:val="008138E6"/>
    <w:rsid w:val="00822750"/>
    <w:rsid w:val="0087203B"/>
    <w:rsid w:val="008C085A"/>
    <w:rsid w:val="008C3F5C"/>
    <w:rsid w:val="008D028D"/>
    <w:rsid w:val="008E68FC"/>
    <w:rsid w:val="008E73CA"/>
    <w:rsid w:val="008F012C"/>
    <w:rsid w:val="008F53EC"/>
    <w:rsid w:val="00937EE7"/>
    <w:rsid w:val="009410A1"/>
    <w:rsid w:val="009825CE"/>
    <w:rsid w:val="009A1C6E"/>
    <w:rsid w:val="009B092D"/>
    <w:rsid w:val="009B5F04"/>
    <w:rsid w:val="009C1742"/>
    <w:rsid w:val="009E280A"/>
    <w:rsid w:val="009F0463"/>
    <w:rsid w:val="00A43F5F"/>
    <w:rsid w:val="00A539E7"/>
    <w:rsid w:val="00A7696D"/>
    <w:rsid w:val="00A941A1"/>
    <w:rsid w:val="00AA349A"/>
    <w:rsid w:val="00AB2E35"/>
    <w:rsid w:val="00AB50C0"/>
    <w:rsid w:val="00AC2C60"/>
    <w:rsid w:val="00AD47B5"/>
    <w:rsid w:val="00AD7C88"/>
    <w:rsid w:val="00AF30D4"/>
    <w:rsid w:val="00AF4E71"/>
    <w:rsid w:val="00B10B25"/>
    <w:rsid w:val="00B11681"/>
    <w:rsid w:val="00B23A3B"/>
    <w:rsid w:val="00B24504"/>
    <w:rsid w:val="00B35850"/>
    <w:rsid w:val="00B4236E"/>
    <w:rsid w:val="00B552AF"/>
    <w:rsid w:val="00B75335"/>
    <w:rsid w:val="00BD4C0E"/>
    <w:rsid w:val="00BE4EDB"/>
    <w:rsid w:val="00C15ECB"/>
    <w:rsid w:val="00C22C10"/>
    <w:rsid w:val="00C77323"/>
    <w:rsid w:val="00C8442D"/>
    <w:rsid w:val="00C8775E"/>
    <w:rsid w:val="00C97F28"/>
    <w:rsid w:val="00CD1AD0"/>
    <w:rsid w:val="00CD34B7"/>
    <w:rsid w:val="00D00EAC"/>
    <w:rsid w:val="00D30E4A"/>
    <w:rsid w:val="00D45776"/>
    <w:rsid w:val="00D65076"/>
    <w:rsid w:val="00D7235D"/>
    <w:rsid w:val="00D724FC"/>
    <w:rsid w:val="00D748BE"/>
    <w:rsid w:val="00D940AD"/>
    <w:rsid w:val="00DA02C4"/>
    <w:rsid w:val="00DA64EA"/>
    <w:rsid w:val="00DA7F14"/>
    <w:rsid w:val="00E27523"/>
    <w:rsid w:val="00E34727"/>
    <w:rsid w:val="00E4332F"/>
    <w:rsid w:val="00E46668"/>
    <w:rsid w:val="00E56A60"/>
    <w:rsid w:val="00E70A53"/>
    <w:rsid w:val="00E82D8E"/>
    <w:rsid w:val="00EA1B9A"/>
    <w:rsid w:val="00EA43B3"/>
    <w:rsid w:val="00EA6FF5"/>
    <w:rsid w:val="00EF5CB8"/>
    <w:rsid w:val="00EF76CF"/>
    <w:rsid w:val="00F06487"/>
    <w:rsid w:val="00F446E5"/>
    <w:rsid w:val="00FB5D9B"/>
    <w:rsid w:val="00FD79A4"/>
    <w:rsid w:val="00FE0164"/>
    <w:rsid w:val="00FE0A22"/>
    <w:rsid w:val="00FE16A5"/>
    <w:rsid w:val="00FF0305"/>
    <w:rsid w:val="00FF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B291"/>
  <w15:chartTrackingRefBased/>
  <w15:docId w15:val="{5A353BEF-A07C-4743-BE2B-27447829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ru-RU"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D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7523"/>
    <w:pPr>
      <w:spacing w:before="100" w:beforeAutospacing="1" w:after="100" w:afterAutospacing="1"/>
    </w:pPr>
    <w:rPr>
      <w:rFonts w:eastAsia="Times New Roman" w:cs="Times New Roman"/>
      <w:lang w:eastAsia="ru-RU"/>
    </w:rPr>
  </w:style>
  <w:style w:type="paragraph" w:styleId="a4">
    <w:name w:val="Balloon Text"/>
    <w:basedOn w:val="a"/>
    <w:link w:val="a5"/>
    <w:uiPriority w:val="99"/>
    <w:semiHidden/>
    <w:unhideWhenUsed/>
    <w:rsid w:val="00BD4C0E"/>
    <w:rPr>
      <w:rFonts w:ascii="Segoe UI" w:hAnsi="Segoe UI" w:cs="Segoe UI"/>
      <w:sz w:val="18"/>
      <w:szCs w:val="18"/>
    </w:rPr>
  </w:style>
  <w:style w:type="character" w:customStyle="1" w:styleId="a5">
    <w:name w:val="Текст выноски Знак"/>
    <w:basedOn w:val="a0"/>
    <w:link w:val="a4"/>
    <w:uiPriority w:val="99"/>
    <w:semiHidden/>
    <w:rsid w:val="00BD4C0E"/>
    <w:rPr>
      <w:rFonts w:ascii="Segoe UI" w:hAnsi="Segoe UI" w:cs="Segoe UI"/>
      <w:sz w:val="18"/>
      <w:szCs w:val="18"/>
    </w:rPr>
  </w:style>
  <w:style w:type="character" w:styleId="a6">
    <w:name w:val="annotation reference"/>
    <w:basedOn w:val="a0"/>
    <w:uiPriority w:val="99"/>
    <w:semiHidden/>
    <w:unhideWhenUsed/>
    <w:rsid w:val="0013618E"/>
    <w:rPr>
      <w:sz w:val="16"/>
      <w:szCs w:val="16"/>
    </w:rPr>
  </w:style>
  <w:style w:type="paragraph" w:styleId="a7">
    <w:name w:val="annotation subject"/>
    <w:basedOn w:val="a"/>
    <w:link w:val="a8"/>
    <w:uiPriority w:val="99"/>
    <w:semiHidden/>
    <w:unhideWhenUsed/>
    <w:rsid w:val="00D30E4A"/>
    <w:rPr>
      <w:b/>
      <w:bCs/>
    </w:rPr>
  </w:style>
  <w:style w:type="character" w:customStyle="1" w:styleId="a8">
    <w:name w:val="Тема примечания Знак"/>
    <w:basedOn w:val="a0"/>
    <w:link w:val="a7"/>
    <w:uiPriority w:val="99"/>
    <w:semiHidden/>
    <w:rsid w:val="00D30E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7940">
      <w:bodyDiv w:val="1"/>
      <w:marLeft w:val="0"/>
      <w:marRight w:val="0"/>
      <w:marTop w:val="0"/>
      <w:marBottom w:val="0"/>
      <w:divBdr>
        <w:top w:val="none" w:sz="0" w:space="0" w:color="auto"/>
        <w:left w:val="none" w:sz="0" w:space="0" w:color="auto"/>
        <w:bottom w:val="none" w:sz="0" w:space="0" w:color="auto"/>
        <w:right w:val="none" w:sz="0" w:space="0" w:color="auto"/>
      </w:divBdr>
    </w:div>
    <w:div w:id="421683289">
      <w:bodyDiv w:val="1"/>
      <w:marLeft w:val="0"/>
      <w:marRight w:val="0"/>
      <w:marTop w:val="0"/>
      <w:marBottom w:val="0"/>
      <w:divBdr>
        <w:top w:val="none" w:sz="0" w:space="0" w:color="auto"/>
        <w:left w:val="none" w:sz="0" w:space="0" w:color="auto"/>
        <w:bottom w:val="none" w:sz="0" w:space="0" w:color="auto"/>
        <w:right w:val="none" w:sz="0" w:space="0" w:color="auto"/>
      </w:divBdr>
    </w:div>
    <w:div w:id="1559515453">
      <w:bodyDiv w:val="1"/>
      <w:marLeft w:val="0"/>
      <w:marRight w:val="0"/>
      <w:marTop w:val="0"/>
      <w:marBottom w:val="0"/>
      <w:divBdr>
        <w:top w:val="none" w:sz="0" w:space="0" w:color="auto"/>
        <w:left w:val="none" w:sz="0" w:space="0" w:color="auto"/>
        <w:bottom w:val="none" w:sz="0" w:space="0" w:color="auto"/>
        <w:right w:val="none" w:sz="0" w:space="0" w:color="auto"/>
      </w:divBdr>
    </w:div>
    <w:div w:id="1572931923">
      <w:bodyDiv w:val="1"/>
      <w:marLeft w:val="0"/>
      <w:marRight w:val="0"/>
      <w:marTop w:val="0"/>
      <w:marBottom w:val="0"/>
      <w:divBdr>
        <w:top w:val="none" w:sz="0" w:space="0" w:color="auto"/>
        <w:left w:val="none" w:sz="0" w:space="0" w:color="auto"/>
        <w:bottom w:val="none" w:sz="0" w:space="0" w:color="auto"/>
        <w:right w:val="none" w:sz="0" w:space="0" w:color="auto"/>
      </w:divBdr>
      <w:divsChild>
        <w:div w:id="3746737">
          <w:marLeft w:val="0"/>
          <w:marRight w:val="0"/>
          <w:marTop w:val="0"/>
          <w:marBottom w:val="0"/>
          <w:divBdr>
            <w:top w:val="none" w:sz="0" w:space="0" w:color="auto"/>
            <w:left w:val="none" w:sz="0" w:space="0" w:color="auto"/>
            <w:bottom w:val="none" w:sz="0" w:space="0" w:color="auto"/>
            <w:right w:val="none" w:sz="0" w:space="0" w:color="auto"/>
          </w:divBdr>
        </w:div>
        <w:div w:id="1177883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 Камбур</dc:creator>
  <cp:keywords/>
  <dc:description/>
  <cp:lastModifiedBy>Игорь Васильевич Капаклы</cp:lastModifiedBy>
  <cp:revision>2</cp:revision>
  <cp:lastPrinted>2018-08-02T05:19:00Z</cp:lastPrinted>
  <dcterms:created xsi:type="dcterms:W3CDTF">2023-05-22T11:35:00Z</dcterms:created>
  <dcterms:modified xsi:type="dcterms:W3CDTF">2023-05-22T11:35:00Z</dcterms:modified>
</cp:coreProperties>
</file>