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4E60" w14:textId="6F21EA21" w:rsidR="007B79CD" w:rsidRDefault="00DA40F3">
      <w:pPr>
        <w:pStyle w:val="20"/>
        <w:jc w:val="both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244B7F89" w14:textId="77777777" w:rsidR="007B79CD" w:rsidRDefault="00DA40F3">
      <w:pPr>
        <w:pStyle w:val="1"/>
        <w:ind w:firstLine="0"/>
        <w:jc w:val="center"/>
      </w:pPr>
      <w:r>
        <w:rPr>
          <w:rStyle w:val="a3"/>
        </w:rPr>
        <w:t>МИНИСТЕРСТВА ЦИФРОВОГО РАЗВИТИЯ, СВЯЗИ И МАССОВЫХ</w:t>
      </w:r>
      <w:r>
        <w:rPr>
          <w:rStyle w:val="a3"/>
        </w:rPr>
        <w:br/>
        <w:t>КОММУНИКАЦИЙ</w:t>
      </w:r>
    </w:p>
    <w:p w14:paraId="7F686942" w14:textId="77777777" w:rsidR="007B79CD" w:rsidRDefault="00DA40F3">
      <w:pPr>
        <w:pStyle w:val="1"/>
        <w:spacing w:after="260"/>
        <w:ind w:firstLine="0"/>
        <w:jc w:val="center"/>
      </w:pPr>
      <w:r>
        <w:rPr>
          <w:rStyle w:val="a3"/>
        </w:rPr>
        <w:t>ПРИДНЕСТРОВСКОЙ МОЛДАВСКОЙ РЕСПУБЛИКИ</w:t>
      </w:r>
    </w:p>
    <w:p w14:paraId="639AF58C" w14:textId="77777777" w:rsidR="007B79CD" w:rsidRDefault="00DA40F3">
      <w:pPr>
        <w:pStyle w:val="1"/>
        <w:spacing w:after="260"/>
        <w:ind w:firstLine="0"/>
        <w:jc w:val="center"/>
      </w:pPr>
      <w:r>
        <w:rPr>
          <w:rStyle w:val="a3"/>
        </w:rPr>
        <w:t>Об утверждении Требований об обеспечении совместимости средств электронных</w:t>
      </w:r>
      <w:r>
        <w:rPr>
          <w:rStyle w:val="a3"/>
        </w:rPr>
        <w:br/>
        <w:t>подписей при организации электронного взаимодействия</w:t>
      </w:r>
    </w:p>
    <w:p w14:paraId="4ACADD57" w14:textId="77777777" w:rsidR="007B79CD" w:rsidRDefault="00DA40F3">
      <w:pPr>
        <w:pStyle w:val="1"/>
        <w:ind w:firstLine="0"/>
        <w:jc w:val="center"/>
      </w:pPr>
      <w:r>
        <w:rPr>
          <w:rStyle w:val="a3"/>
        </w:rPr>
        <w:t>Зарегистрирован Министерством юстиции</w:t>
      </w:r>
    </w:p>
    <w:p w14:paraId="639A3882" w14:textId="77777777" w:rsidR="007B79CD" w:rsidRDefault="00DA40F3">
      <w:pPr>
        <w:pStyle w:val="1"/>
        <w:ind w:firstLine="0"/>
        <w:jc w:val="center"/>
      </w:pPr>
      <w:r>
        <w:rPr>
          <w:rStyle w:val="a3"/>
        </w:rPr>
        <w:t>Приднестровской Молдавской Республики 28 мая 2024 г.</w:t>
      </w:r>
    </w:p>
    <w:p w14:paraId="2E76AE44" w14:textId="77777777" w:rsidR="007B79CD" w:rsidRDefault="00DA40F3">
      <w:pPr>
        <w:pStyle w:val="1"/>
        <w:spacing w:after="260"/>
        <w:ind w:firstLine="0"/>
        <w:jc w:val="center"/>
      </w:pPr>
      <w:r>
        <w:rPr>
          <w:rStyle w:val="a3"/>
        </w:rPr>
        <w:t>Регистрационный № 12460</w:t>
      </w:r>
    </w:p>
    <w:p w14:paraId="1A0834C8" w14:textId="77777777" w:rsidR="007B79CD" w:rsidRDefault="00DA40F3">
      <w:pPr>
        <w:pStyle w:val="1"/>
        <w:jc w:val="both"/>
      </w:pPr>
      <w:r>
        <w:rPr>
          <w:rStyle w:val="a3"/>
        </w:rPr>
        <w:t>В соответствии с пунктом 4 статьи 3 Закона Приднестровской Молдавской Республики от 3 июля 2017 года № 205-З-VI «Об электронном документе и э</w:t>
      </w:r>
      <w:r>
        <w:rPr>
          <w:rStyle w:val="a3"/>
        </w:rPr>
        <w:t>лектронной подписи» (САЗ 17-28), Постановлением Правительства Приднестровской Молдавской Республики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</w:t>
      </w:r>
      <w:r>
        <w:rPr>
          <w:rStyle w:val="a3"/>
        </w:rPr>
        <w:t>аций Приднестровской Молдавской Республики» (САЗ 21-3) с изменениями и дополнениями, внесенными постановлениями Правительства Приднестровской Молдавской Республики от 21 января 2021 года № 13 (САЗ 21-8), от 13 августа 2021 года № 268 (САЗ 21-33), от 10 дек</w:t>
      </w:r>
      <w:r>
        <w:rPr>
          <w:rStyle w:val="a3"/>
        </w:rPr>
        <w:t>абря 2021 года № 391 (САЗ 21-50), от 24 марта 2022 года № 98 (САЗ 22-11), от 2 декабря 2022 года № 499 (САЗ 22-48), от 9 декабря 2022 года № 465 (САЗ 22-48), от 11 мая 2023 года № 157 (САЗ 23-19), от 31 августа 2023 года № 297 (САЗ 23-36), от 22 января 202</w:t>
      </w:r>
      <w:r>
        <w:rPr>
          <w:rStyle w:val="a3"/>
        </w:rPr>
        <w:t>4 года № 33 (САЗ 24-5), в целях утверждения Требований об обеспечении совместимости средств электронных подписей при организации электронного взаимодействия, приказываю:</w:t>
      </w:r>
    </w:p>
    <w:p w14:paraId="47DD9A79" w14:textId="77777777" w:rsidR="007B79CD" w:rsidRDefault="00DA40F3">
      <w:pPr>
        <w:pStyle w:val="1"/>
        <w:numPr>
          <w:ilvl w:val="0"/>
          <w:numId w:val="1"/>
        </w:numPr>
        <w:tabs>
          <w:tab w:val="left" w:pos="662"/>
        </w:tabs>
        <w:jc w:val="both"/>
      </w:pPr>
      <w:r>
        <w:rPr>
          <w:rStyle w:val="a3"/>
        </w:rPr>
        <w:t>Утвердить Требования об обеспечении совместимости средств электронных подписей при орг</w:t>
      </w:r>
      <w:r>
        <w:rPr>
          <w:rStyle w:val="a3"/>
        </w:rPr>
        <w:t>анизации электронного взаимодействия согласно Приложению к настоящему Приказу.</w:t>
      </w:r>
    </w:p>
    <w:p w14:paraId="1B7BE82E" w14:textId="77777777" w:rsidR="007B79CD" w:rsidRDefault="00DA40F3">
      <w:pPr>
        <w:pStyle w:val="1"/>
        <w:numPr>
          <w:ilvl w:val="0"/>
          <w:numId w:val="1"/>
        </w:numPr>
        <w:tabs>
          <w:tab w:val="left" w:pos="662"/>
        </w:tabs>
        <w:jc w:val="both"/>
      </w:pPr>
      <w:r>
        <w:rPr>
          <w:rStyle w:val="a3"/>
        </w:rPr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7B86E67A" w14:textId="77777777" w:rsidR="007B79CD" w:rsidRDefault="00DA40F3">
      <w:pPr>
        <w:pStyle w:val="1"/>
        <w:numPr>
          <w:ilvl w:val="0"/>
          <w:numId w:val="1"/>
        </w:numPr>
        <w:tabs>
          <w:tab w:val="left" w:pos="662"/>
        </w:tabs>
        <w:spacing w:after="260"/>
        <w:jc w:val="both"/>
      </w:pPr>
      <w:r>
        <w:rPr>
          <w:rStyle w:val="a3"/>
        </w:rPr>
        <w:t>Настоящий Приказ вступает в с</w:t>
      </w:r>
      <w:r>
        <w:rPr>
          <w:rStyle w:val="a3"/>
        </w:rPr>
        <w:t>илу со дня, следующего за днем его официального опубликования.</w:t>
      </w:r>
    </w:p>
    <w:p w14:paraId="0144D840" w14:textId="77777777" w:rsidR="007B79CD" w:rsidRDefault="00DA40F3">
      <w:pPr>
        <w:pStyle w:val="1"/>
        <w:tabs>
          <w:tab w:val="left" w:pos="7413"/>
        </w:tabs>
        <w:spacing w:after="260"/>
        <w:jc w:val="both"/>
      </w:pPr>
      <w:r>
        <w:rPr>
          <w:rStyle w:val="a3"/>
        </w:rPr>
        <w:t>Министр</w:t>
      </w:r>
      <w:r>
        <w:rPr>
          <w:rStyle w:val="a3"/>
        </w:rPr>
        <w:tab/>
        <w:t>А. ДИМИТРОГЛО</w:t>
      </w:r>
    </w:p>
    <w:p w14:paraId="4928C187" w14:textId="77777777" w:rsidR="007B79CD" w:rsidRDefault="00DA40F3">
      <w:pPr>
        <w:pStyle w:val="1"/>
        <w:ind w:firstLine="220"/>
        <w:jc w:val="both"/>
      </w:pPr>
      <w:r>
        <w:rPr>
          <w:rStyle w:val="a3"/>
        </w:rPr>
        <w:t>г. Тирасполь</w:t>
      </w:r>
    </w:p>
    <w:p w14:paraId="3B952D50" w14:textId="77777777" w:rsidR="007B79CD" w:rsidRDefault="00DA40F3">
      <w:pPr>
        <w:pStyle w:val="1"/>
        <w:ind w:firstLine="0"/>
        <w:jc w:val="both"/>
      </w:pPr>
      <w:r>
        <w:rPr>
          <w:rStyle w:val="a3"/>
        </w:rPr>
        <w:t>26 апреля 2024 г.</w:t>
      </w:r>
    </w:p>
    <w:p w14:paraId="64F83020" w14:textId="77777777" w:rsidR="007B79CD" w:rsidRDefault="00DA40F3">
      <w:pPr>
        <w:pStyle w:val="1"/>
        <w:spacing w:after="260"/>
        <w:ind w:firstLine="460"/>
        <w:jc w:val="both"/>
      </w:pPr>
      <w:r>
        <w:rPr>
          <w:rStyle w:val="a3"/>
        </w:rPr>
        <w:t>№ 128</w:t>
      </w:r>
    </w:p>
    <w:p w14:paraId="205B2234" w14:textId="77777777" w:rsidR="007B79CD" w:rsidRDefault="00DA40F3">
      <w:pPr>
        <w:pStyle w:val="1"/>
        <w:ind w:left="5120" w:firstLine="0"/>
        <w:jc w:val="both"/>
      </w:pPr>
      <w:r>
        <w:rPr>
          <w:rStyle w:val="a3"/>
        </w:rPr>
        <w:t>Приложение</w:t>
      </w:r>
    </w:p>
    <w:p w14:paraId="633BF1EA" w14:textId="77777777" w:rsidR="007B79CD" w:rsidRDefault="00DA40F3">
      <w:pPr>
        <w:pStyle w:val="1"/>
        <w:tabs>
          <w:tab w:val="left" w:pos="6627"/>
          <w:tab w:val="left" w:pos="7713"/>
          <w:tab w:val="left" w:pos="8384"/>
        </w:tabs>
        <w:ind w:left="5120" w:firstLine="0"/>
        <w:jc w:val="both"/>
      </w:pPr>
      <w:r>
        <w:rPr>
          <w:rStyle w:val="a3"/>
        </w:rPr>
        <w:t>к Приказу Министерства цифрового развития,</w:t>
      </w:r>
      <w:r>
        <w:rPr>
          <w:rStyle w:val="a3"/>
        </w:rPr>
        <w:tab/>
        <w:t>связи</w:t>
      </w:r>
      <w:r>
        <w:rPr>
          <w:rStyle w:val="a3"/>
        </w:rPr>
        <w:tab/>
        <w:t>и</w:t>
      </w:r>
      <w:r>
        <w:rPr>
          <w:rStyle w:val="a3"/>
        </w:rPr>
        <w:tab/>
        <w:t>массовых</w:t>
      </w:r>
    </w:p>
    <w:p w14:paraId="0DBC93B9" w14:textId="77777777" w:rsidR="007B79CD" w:rsidRDefault="00DA40F3">
      <w:pPr>
        <w:pStyle w:val="1"/>
        <w:tabs>
          <w:tab w:val="left" w:pos="7549"/>
        </w:tabs>
        <w:ind w:left="5120" w:firstLine="0"/>
        <w:jc w:val="both"/>
      </w:pPr>
      <w:r>
        <w:rPr>
          <w:rStyle w:val="a3"/>
        </w:rPr>
        <w:t>коммуникаций</w:t>
      </w:r>
      <w:r>
        <w:rPr>
          <w:rStyle w:val="a3"/>
        </w:rPr>
        <w:tab/>
        <w:t>Приднестровской</w:t>
      </w:r>
    </w:p>
    <w:p w14:paraId="167BE166" w14:textId="77777777" w:rsidR="007B79CD" w:rsidRDefault="00DA40F3">
      <w:pPr>
        <w:pStyle w:val="1"/>
        <w:spacing w:after="260"/>
        <w:ind w:left="5120" w:firstLine="0"/>
        <w:jc w:val="both"/>
      </w:pPr>
      <w:r>
        <w:rPr>
          <w:rStyle w:val="a3"/>
        </w:rPr>
        <w:t xml:space="preserve">Молдавской Республики от 26 </w:t>
      </w:r>
      <w:r>
        <w:rPr>
          <w:rStyle w:val="a3"/>
        </w:rPr>
        <w:t>апреля 2024 года № 128</w:t>
      </w:r>
    </w:p>
    <w:p w14:paraId="2982BA95" w14:textId="77777777" w:rsidR="007B79CD" w:rsidRDefault="00DA40F3">
      <w:pPr>
        <w:pStyle w:val="1"/>
        <w:spacing w:after="260"/>
        <w:ind w:firstLine="0"/>
        <w:jc w:val="center"/>
      </w:pPr>
      <w:r>
        <w:rPr>
          <w:rStyle w:val="a3"/>
        </w:rPr>
        <w:t>Требования об обеспечении совместимости средств электронных подписей при</w:t>
      </w:r>
      <w:r>
        <w:rPr>
          <w:rStyle w:val="a3"/>
        </w:rPr>
        <w:br/>
        <w:t>организации электронного взаимодействия</w:t>
      </w:r>
    </w:p>
    <w:p w14:paraId="173CA645" w14:textId="77777777" w:rsidR="007B79CD" w:rsidRDefault="00DA40F3">
      <w:pPr>
        <w:pStyle w:val="1"/>
        <w:numPr>
          <w:ilvl w:val="0"/>
          <w:numId w:val="2"/>
        </w:numPr>
        <w:tabs>
          <w:tab w:val="left" w:pos="586"/>
        </w:tabs>
        <w:jc w:val="both"/>
      </w:pPr>
      <w:r>
        <w:rPr>
          <w:rStyle w:val="a3"/>
        </w:rPr>
        <w:t>Настоящие требования предъявляются к средствам усиленной квалифицированной электронной подписи, а также усиленной квалиф</w:t>
      </w:r>
      <w:r>
        <w:rPr>
          <w:rStyle w:val="a3"/>
        </w:rPr>
        <w:t xml:space="preserve">ицированной электронной подписи органа государственной власти и управления, государственного органа, органа местного самоуправления, созданной с использованием средств электронной подписи для </w:t>
      </w:r>
      <w:r>
        <w:rPr>
          <w:rStyle w:val="a3"/>
        </w:rPr>
        <w:lastRenderedPageBreak/>
        <w:t>автоматического создания и (или) автоматической проверки электро</w:t>
      </w:r>
      <w:r>
        <w:rPr>
          <w:rStyle w:val="a3"/>
        </w:rPr>
        <w:t>нных подписей (далее – электронная подпись) с целью обеспечения их совместимости при организации органами государственной власти и управления, государственными органами, органами местного самоуправления (далее – участники электронного взаимодействия) элект</w:t>
      </w:r>
      <w:r>
        <w:rPr>
          <w:rStyle w:val="a3"/>
        </w:rPr>
        <w:t>ронного взаимодействия, осуществляемого при предоставлении государственных услуг и исполнении государственных функций.</w:t>
      </w:r>
    </w:p>
    <w:p w14:paraId="0CC36B21" w14:textId="77777777" w:rsidR="007B79CD" w:rsidRDefault="00DA40F3">
      <w:pPr>
        <w:pStyle w:val="1"/>
        <w:jc w:val="both"/>
      </w:pPr>
      <w:r>
        <w:rPr>
          <w:rStyle w:val="a3"/>
        </w:rPr>
        <w:t>Настоящие требования не применяются к средствам электронной подписи, используемым при осуществлении обмена электронными документами, кото</w:t>
      </w:r>
      <w:r>
        <w:rPr>
          <w:rStyle w:val="a3"/>
        </w:rPr>
        <w:t>рые содержат сведения, составляющие государственную тайну.</w:t>
      </w:r>
    </w:p>
    <w:p w14:paraId="3FF17E18" w14:textId="77777777" w:rsidR="007B79CD" w:rsidRDefault="00DA40F3">
      <w:pPr>
        <w:pStyle w:val="1"/>
        <w:numPr>
          <w:ilvl w:val="0"/>
          <w:numId w:val="2"/>
        </w:numPr>
        <w:tabs>
          <w:tab w:val="left" w:pos="586"/>
        </w:tabs>
        <w:jc w:val="both"/>
      </w:pPr>
      <w:r>
        <w:rPr>
          <w:rStyle w:val="a3"/>
        </w:rPr>
        <w:t>Требования об обеспечении совместимости средств усиленных неквалифицированных электронных подписей определяются договорами органов государственной власти и управления, государственных органов, орга</w:t>
      </w:r>
      <w:r>
        <w:rPr>
          <w:rStyle w:val="a3"/>
        </w:rPr>
        <w:t>нов местного самоуправления, намеревающихся использовать обозначенный вид подписи при организации электронного взаимодействия между собой.</w:t>
      </w:r>
    </w:p>
    <w:p w14:paraId="2E7F45E5" w14:textId="77777777" w:rsidR="007B79CD" w:rsidRDefault="00DA40F3">
      <w:pPr>
        <w:pStyle w:val="1"/>
        <w:numPr>
          <w:ilvl w:val="0"/>
          <w:numId w:val="2"/>
        </w:numPr>
        <w:tabs>
          <w:tab w:val="left" w:pos="586"/>
        </w:tabs>
        <w:jc w:val="both"/>
      </w:pPr>
      <w:r>
        <w:rPr>
          <w:rStyle w:val="a3"/>
        </w:rPr>
        <w:t>Применяемые или планируемые для применения при электронном взаимодействии средства электронной подписи считаются совм</w:t>
      </w:r>
      <w:r>
        <w:rPr>
          <w:rStyle w:val="a3"/>
        </w:rPr>
        <w:t>естимыми между собой в случае обеспечения одинакового результата процедуры проверки условий признания действительности электронной подписи и одинакового отображения содержимого документа, подписанного указанной подписью.</w:t>
      </w:r>
    </w:p>
    <w:p w14:paraId="63A94099" w14:textId="77777777" w:rsidR="007B79CD" w:rsidRDefault="00DA40F3">
      <w:pPr>
        <w:pStyle w:val="1"/>
        <w:numPr>
          <w:ilvl w:val="0"/>
          <w:numId w:val="2"/>
        </w:numPr>
        <w:tabs>
          <w:tab w:val="left" w:pos="586"/>
        </w:tabs>
        <w:jc w:val="both"/>
      </w:pPr>
      <w:r>
        <w:rPr>
          <w:rStyle w:val="a3"/>
        </w:rPr>
        <w:t>Проверка совместимости средства эле</w:t>
      </w:r>
      <w:r>
        <w:rPr>
          <w:rStyle w:val="a3"/>
        </w:rPr>
        <w:t>ктронной подписи с другими средствами электронной подписи, применяемыми или планируемыми для применения при электронном взаимодействии, осуществляется путем проверки его совместимости со средствами государственной информационной системы «Корневой удостовер</w:t>
      </w:r>
      <w:r>
        <w:rPr>
          <w:rStyle w:val="a3"/>
        </w:rPr>
        <w:t>яющий центр».</w:t>
      </w:r>
    </w:p>
    <w:p w14:paraId="6F2028B0" w14:textId="77777777" w:rsidR="007B79CD" w:rsidRDefault="00DA40F3">
      <w:pPr>
        <w:pStyle w:val="1"/>
        <w:numPr>
          <w:ilvl w:val="0"/>
          <w:numId w:val="2"/>
        </w:numPr>
        <w:tabs>
          <w:tab w:val="left" w:pos="582"/>
        </w:tabs>
        <w:jc w:val="both"/>
      </w:pPr>
      <w:r>
        <w:rPr>
          <w:rStyle w:val="a3"/>
        </w:rPr>
        <w:t>При проверке электронной подписи средства электронной подписи должны отображать:</w:t>
      </w:r>
    </w:p>
    <w:p w14:paraId="3FC5D27C" w14:textId="77777777" w:rsidR="007B79CD" w:rsidRDefault="00DA40F3">
      <w:pPr>
        <w:pStyle w:val="1"/>
        <w:numPr>
          <w:ilvl w:val="0"/>
          <w:numId w:val="3"/>
        </w:numPr>
        <w:tabs>
          <w:tab w:val="left" w:pos="591"/>
        </w:tabs>
        <w:jc w:val="both"/>
      </w:pPr>
      <w:r>
        <w:rPr>
          <w:rStyle w:val="a3"/>
        </w:rPr>
        <w:t>содержание электронного документа, подписанного электронной подписью, или однозначно ссылаться на подписываемый документ;</w:t>
      </w:r>
    </w:p>
    <w:p w14:paraId="2328C447" w14:textId="77777777" w:rsidR="007B79CD" w:rsidRDefault="00DA40F3">
      <w:pPr>
        <w:pStyle w:val="1"/>
        <w:numPr>
          <w:ilvl w:val="0"/>
          <w:numId w:val="3"/>
        </w:numPr>
        <w:tabs>
          <w:tab w:val="left" w:pos="615"/>
        </w:tabs>
        <w:jc w:val="both"/>
      </w:pPr>
      <w:r>
        <w:rPr>
          <w:rStyle w:val="a3"/>
        </w:rPr>
        <w:t>информацию о факте внесения изменений в</w:t>
      </w:r>
      <w:r>
        <w:rPr>
          <w:rStyle w:val="a3"/>
        </w:rPr>
        <w:t xml:space="preserve"> подписанный электронной подписью электронный документ;</w:t>
      </w:r>
    </w:p>
    <w:p w14:paraId="6DFE9A7A" w14:textId="77777777" w:rsidR="007B79CD" w:rsidRDefault="00DA40F3">
      <w:pPr>
        <w:pStyle w:val="1"/>
        <w:numPr>
          <w:ilvl w:val="0"/>
          <w:numId w:val="3"/>
        </w:numPr>
        <w:tabs>
          <w:tab w:val="left" w:pos="596"/>
        </w:tabs>
        <w:jc w:val="both"/>
      </w:pPr>
      <w:r>
        <w:rPr>
          <w:rStyle w:val="a3"/>
        </w:rPr>
        <w:t>сведения, содержащиеся в квалифицированном сертификате открытого ключа (далее – сертификат), а именно:</w:t>
      </w:r>
    </w:p>
    <w:p w14:paraId="5B792D7C" w14:textId="77777777" w:rsidR="007B79CD" w:rsidRDefault="00DA40F3">
      <w:pPr>
        <w:pStyle w:val="1"/>
        <w:numPr>
          <w:ilvl w:val="0"/>
          <w:numId w:val="4"/>
        </w:numPr>
        <w:tabs>
          <w:tab w:val="left" w:pos="606"/>
        </w:tabs>
        <w:jc w:val="both"/>
      </w:pPr>
      <w:r>
        <w:rPr>
          <w:rStyle w:val="a3"/>
        </w:rPr>
        <w:t xml:space="preserve">уникальный номер сертификата, время и даты начала и окончания срока действия </w:t>
      </w:r>
      <w:r>
        <w:rPr>
          <w:rStyle w:val="a3"/>
        </w:rPr>
        <w:t>сертификата;</w:t>
      </w:r>
    </w:p>
    <w:p w14:paraId="52D2CEEE" w14:textId="77777777" w:rsidR="007B79CD" w:rsidRDefault="00DA40F3">
      <w:pPr>
        <w:pStyle w:val="1"/>
        <w:numPr>
          <w:ilvl w:val="0"/>
          <w:numId w:val="4"/>
        </w:numPr>
        <w:tabs>
          <w:tab w:val="left" w:pos="606"/>
        </w:tabs>
        <w:jc w:val="both"/>
      </w:pPr>
      <w:r>
        <w:rPr>
          <w:rStyle w:val="a3"/>
        </w:rPr>
        <w:t>фамилию, имя и отчество (если имеется) для физического лица, наименование – для органа государственной власти и управления, государственного органа, органа местного самоуправления, а также иную информацию, позволяющую идентифицировать владельц</w:t>
      </w:r>
      <w:r>
        <w:rPr>
          <w:rStyle w:val="a3"/>
        </w:rPr>
        <w:t>а сертификата;</w:t>
      </w:r>
    </w:p>
    <w:p w14:paraId="7C5954FA" w14:textId="77777777" w:rsidR="007B79CD" w:rsidRDefault="00DA40F3">
      <w:pPr>
        <w:pStyle w:val="1"/>
        <w:numPr>
          <w:ilvl w:val="0"/>
          <w:numId w:val="4"/>
        </w:numPr>
        <w:tabs>
          <w:tab w:val="left" w:pos="876"/>
        </w:tabs>
        <w:jc w:val="both"/>
      </w:pPr>
      <w:r>
        <w:rPr>
          <w:rStyle w:val="a3"/>
        </w:rPr>
        <w:t>номер реестровой записи о физическом лице;</w:t>
      </w:r>
    </w:p>
    <w:p w14:paraId="0A1DF6D5" w14:textId="77777777" w:rsidR="007B79CD" w:rsidRDefault="00DA40F3">
      <w:pPr>
        <w:pStyle w:val="1"/>
        <w:numPr>
          <w:ilvl w:val="0"/>
          <w:numId w:val="4"/>
        </w:numPr>
        <w:tabs>
          <w:tab w:val="left" w:pos="876"/>
        </w:tabs>
        <w:jc w:val="both"/>
      </w:pPr>
      <w:r>
        <w:rPr>
          <w:rStyle w:val="a3"/>
        </w:rPr>
        <w:t>открытый ключ электронной подписи;</w:t>
      </w:r>
    </w:p>
    <w:p w14:paraId="3A92EE2B" w14:textId="77777777" w:rsidR="007B79CD" w:rsidRDefault="00DA40F3">
      <w:pPr>
        <w:pStyle w:val="1"/>
        <w:numPr>
          <w:ilvl w:val="0"/>
          <w:numId w:val="4"/>
        </w:numPr>
        <w:tabs>
          <w:tab w:val="left" w:pos="876"/>
        </w:tabs>
        <w:jc w:val="both"/>
      </w:pPr>
      <w:r>
        <w:rPr>
          <w:rStyle w:val="a3"/>
        </w:rPr>
        <w:t>данные о криптографическом алгоритме электронной подписи;</w:t>
      </w:r>
    </w:p>
    <w:p w14:paraId="31C7C894" w14:textId="77777777" w:rsidR="007B79CD" w:rsidRDefault="00DA40F3">
      <w:pPr>
        <w:pStyle w:val="1"/>
        <w:numPr>
          <w:ilvl w:val="0"/>
          <w:numId w:val="4"/>
        </w:numPr>
        <w:tabs>
          <w:tab w:val="left" w:pos="606"/>
        </w:tabs>
        <w:jc w:val="both"/>
      </w:pPr>
      <w:r>
        <w:rPr>
          <w:rStyle w:val="a3"/>
        </w:rPr>
        <w:t>наименование и (или) идентификационные данные удостоверяющего центра, выдавшего сертификат;</w:t>
      </w:r>
    </w:p>
    <w:p w14:paraId="5866B140" w14:textId="77777777" w:rsidR="007B79CD" w:rsidRDefault="00DA40F3">
      <w:pPr>
        <w:pStyle w:val="1"/>
        <w:numPr>
          <w:ilvl w:val="0"/>
          <w:numId w:val="4"/>
        </w:numPr>
        <w:tabs>
          <w:tab w:val="left" w:pos="606"/>
        </w:tabs>
        <w:jc w:val="both"/>
      </w:pPr>
      <w:r>
        <w:rPr>
          <w:rStyle w:val="a3"/>
        </w:rPr>
        <w:t>ограничения и</w:t>
      </w:r>
      <w:r>
        <w:rPr>
          <w:rStyle w:val="a3"/>
        </w:rPr>
        <w:t>спользования сертификата, в случае установления таких ограничений владельцем или удостоверяющим центром.</w:t>
      </w:r>
    </w:p>
    <w:p w14:paraId="76AADC22" w14:textId="77777777" w:rsidR="007B79CD" w:rsidRDefault="00DA40F3">
      <w:pPr>
        <w:pStyle w:val="1"/>
        <w:numPr>
          <w:ilvl w:val="0"/>
          <w:numId w:val="5"/>
        </w:numPr>
        <w:tabs>
          <w:tab w:val="left" w:pos="586"/>
        </w:tabs>
        <w:jc w:val="both"/>
      </w:pPr>
      <w:r>
        <w:rPr>
          <w:rStyle w:val="a3"/>
        </w:rPr>
        <w:t>В целях обеспечения совместимости средств электронной подписи, используемых участниками электронного взаимодействия, закрытые и открытые ключи электрон</w:t>
      </w:r>
      <w:r>
        <w:rPr>
          <w:rStyle w:val="a3"/>
        </w:rPr>
        <w:t>ной подписи создаются, а проверка электронной подписи осуществляется в соответствии с</w:t>
      </w:r>
    </w:p>
    <w:p w14:paraId="13CBF62C" w14:textId="77777777" w:rsidR="007B79CD" w:rsidRDefault="00DA40F3">
      <w:pPr>
        <w:pStyle w:val="1"/>
        <w:ind w:firstLine="0"/>
        <w:jc w:val="both"/>
      </w:pPr>
      <w:r>
        <w:rPr>
          <w:rStyle w:val="a3"/>
        </w:rPr>
        <w:t>требованиями Закона Приднестровской Молдавской Республики от 3 июля 2017 года № 205-З-VI «Об электронном документе и электронной подписи» (САЗ 17-28).</w:t>
      </w:r>
    </w:p>
    <w:p w14:paraId="12AFA62B" w14:textId="77777777" w:rsidR="007B79CD" w:rsidRDefault="00DA40F3">
      <w:pPr>
        <w:pStyle w:val="1"/>
        <w:numPr>
          <w:ilvl w:val="0"/>
          <w:numId w:val="5"/>
        </w:numPr>
        <w:tabs>
          <w:tab w:val="left" w:pos="586"/>
        </w:tabs>
        <w:jc w:val="both"/>
      </w:pPr>
      <w:r>
        <w:rPr>
          <w:rStyle w:val="a3"/>
        </w:rPr>
        <w:t>Сертификаты, выдава</w:t>
      </w:r>
      <w:r>
        <w:rPr>
          <w:rStyle w:val="a3"/>
        </w:rPr>
        <w:t xml:space="preserve">емые участникам электронного взаимодействия, должны соответствовать требованиям к структуре квалифицированного сертификата открытого ключа, выдаваемого аккредитованным удостоверяющим центром или уполномоченным </w:t>
      </w:r>
      <w:r>
        <w:rPr>
          <w:rStyle w:val="a3"/>
        </w:rPr>
        <w:lastRenderedPageBreak/>
        <w:t>удостоверяющим центром, установленным исполнит</w:t>
      </w:r>
      <w:r>
        <w:rPr>
          <w:rStyle w:val="a3"/>
        </w:rPr>
        <w:t>ельным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sectPr w:rsidR="007B79CD">
      <w:pgSz w:w="11900" w:h="16840"/>
      <w:pgMar w:top="1124" w:right="819" w:bottom="1130" w:left="1669" w:header="696" w:footer="7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B33D" w14:textId="77777777" w:rsidR="00DA40F3" w:rsidRDefault="00DA40F3">
      <w:r>
        <w:separator/>
      </w:r>
    </w:p>
  </w:endnote>
  <w:endnote w:type="continuationSeparator" w:id="0">
    <w:p w14:paraId="2A25B478" w14:textId="77777777" w:rsidR="00DA40F3" w:rsidRDefault="00DA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E26A" w14:textId="77777777" w:rsidR="00DA40F3" w:rsidRDefault="00DA40F3"/>
  </w:footnote>
  <w:footnote w:type="continuationSeparator" w:id="0">
    <w:p w14:paraId="5683DACF" w14:textId="77777777" w:rsidR="00DA40F3" w:rsidRDefault="00DA4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6A2"/>
    <w:multiLevelType w:val="multilevel"/>
    <w:tmpl w:val="D0F26A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F4F20"/>
    <w:multiLevelType w:val="multilevel"/>
    <w:tmpl w:val="9A6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5275C"/>
    <w:multiLevelType w:val="multilevel"/>
    <w:tmpl w:val="7AB88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84F09"/>
    <w:multiLevelType w:val="multilevel"/>
    <w:tmpl w:val="80EAED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162E9A"/>
    <w:multiLevelType w:val="multilevel"/>
    <w:tmpl w:val="1E10AD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CD"/>
    <w:rsid w:val="00060A15"/>
    <w:rsid w:val="00081F6E"/>
    <w:rsid w:val="007B79CD"/>
    <w:rsid w:val="00972879"/>
    <w:rsid w:val="00C75595"/>
    <w:rsid w:val="00DA40F3"/>
    <w:rsid w:val="00E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D8EC"/>
  <w15:docId w15:val="{BC14AAEC-4451-4402-BEF9-40C6A130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52" w:lineRule="auto"/>
      <w:ind w:left="4220" w:firstLine="240"/>
    </w:pPr>
    <w:rPr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Лысак</dc:creator>
  <cp:keywords/>
  <cp:lastModifiedBy>Капаклы Игорь</cp:lastModifiedBy>
  <cp:revision>2</cp:revision>
  <dcterms:created xsi:type="dcterms:W3CDTF">2024-06-13T11:43:00Z</dcterms:created>
  <dcterms:modified xsi:type="dcterms:W3CDTF">2024-06-13T11:43:00Z</dcterms:modified>
</cp:coreProperties>
</file>